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6FE0B" w14:textId="6D4D12D1" w:rsidR="00D935AA" w:rsidRPr="00A87FAE" w:rsidRDefault="00D935AA" w:rsidP="00DE098C">
      <w:pPr>
        <w:spacing w:after="160" w:line="259" w:lineRule="auto"/>
        <w:jc w:val="both"/>
        <w:rPr>
          <w:rFonts w:ascii="Open Sans" w:eastAsia="Calibri" w:hAnsi="Open Sans" w:cs="Open Sans"/>
          <w:b/>
          <w:bCs/>
          <w:kern w:val="2"/>
          <w:sz w:val="20"/>
          <w:szCs w:val="20"/>
          <w:lang w:eastAsia="en-US"/>
          <w14:ligatures w14:val="standardContextual"/>
        </w:rPr>
      </w:pPr>
      <w:r w:rsidRPr="00A87FAE">
        <w:rPr>
          <w:rFonts w:ascii="Open Sans" w:hAnsi="Open Sans" w:cs="Open Sans"/>
          <w:b/>
          <w:bCs/>
          <w:sz w:val="20"/>
          <w:szCs w:val="20"/>
          <w:lang w:eastAsia="en-US"/>
        </w:rPr>
        <w:t>Allgemeine Bestimmung zum Förderpreis für exzellente Nachwuchsforschung im Großhandel, vergeben durch die Forschungsvereinigung Großhandel (ForveG) e.V.</w:t>
      </w:r>
    </w:p>
    <w:p w14:paraId="2C5C559C" w14:textId="77777777" w:rsidR="00D935AA" w:rsidRPr="00A87FAE" w:rsidRDefault="00D935AA" w:rsidP="00DE098C">
      <w:pPr>
        <w:spacing w:after="160" w:line="259" w:lineRule="auto"/>
        <w:jc w:val="both"/>
        <w:rPr>
          <w:rFonts w:ascii="Open Sans" w:eastAsia="Calibri" w:hAnsi="Open Sans" w:cs="Open Sans"/>
          <w:b/>
          <w:bCs/>
          <w:kern w:val="2"/>
          <w:sz w:val="20"/>
          <w:szCs w:val="20"/>
          <w:lang w:eastAsia="en-US"/>
          <w14:ligatures w14:val="standardContextual"/>
        </w:rPr>
      </w:pPr>
    </w:p>
    <w:p w14:paraId="48B55A13" w14:textId="77777777" w:rsidR="00D935AA" w:rsidRPr="00A87FAE" w:rsidRDefault="00D935AA" w:rsidP="00DE098C">
      <w:pPr>
        <w:numPr>
          <w:ilvl w:val="0"/>
          <w:numId w:val="1"/>
        </w:numPr>
        <w:spacing w:after="160" w:line="259" w:lineRule="auto"/>
        <w:contextualSpacing/>
        <w:jc w:val="both"/>
        <w:rPr>
          <w:rFonts w:ascii="Open Sans" w:eastAsia="Calibri" w:hAnsi="Open Sans" w:cs="Open Sans"/>
          <w:b/>
          <w:bCs/>
          <w:kern w:val="2"/>
          <w:sz w:val="20"/>
          <w:szCs w:val="20"/>
          <w:lang w:eastAsia="en-US"/>
          <w14:ligatures w14:val="standardContextual"/>
        </w:rPr>
      </w:pPr>
      <w:r w:rsidRPr="00A87FAE">
        <w:rPr>
          <w:rFonts w:ascii="Open Sans" w:eastAsia="Calibri" w:hAnsi="Open Sans" w:cs="Open Sans"/>
          <w:b/>
          <w:bCs/>
          <w:kern w:val="2"/>
          <w:sz w:val="20"/>
          <w:szCs w:val="20"/>
          <w:lang w:eastAsia="en-US"/>
          <w14:ligatures w14:val="standardContextual"/>
        </w:rPr>
        <w:t>Vorbemerkungen</w:t>
      </w:r>
    </w:p>
    <w:p w14:paraId="704D578D" w14:textId="0FB72EC5" w:rsidR="00D935AA" w:rsidRPr="00A87FAE" w:rsidRDefault="00D935AA" w:rsidP="00DE098C">
      <w:pPr>
        <w:spacing w:after="160" w:line="259" w:lineRule="auto"/>
        <w:jc w:val="both"/>
        <w:rPr>
          <w:rFonts w:ascii="Open Sans" w:eastAsia="Calibri" w:hAnsi="Open Sans" w:cs="Open Sans"/>
          <w:kern w:val="2"/>
          <w:sz w:val="20"/>
          <w:szCs w:val="20"/>
          <w:lang w:eastAsia="en-US"/>
          <w14:ligatures w14:val="standardContextual"/>
        </w:rPr>
      </w:pPr>
      <w:r w:rsidRPr="00A87FAE">
        <w:rPr>
          <w:rFonts w:ascii="Open Sans" w:eastAsia="Calibri" w:hAnsi="Open Sans" w:cs="Open Sans"/>
          <w:kern w:val="2"/>
          <w:sz w:val="20"/>
          <w:szCs w:val="20"/>
          <w:lang w:eastAsia="en-US"/>
          <w14:ligatures w14:val="standardContextual"/>
        </w:rPr>
        <w:t>Die Forschungsvereinigung Großhandel (ForveG) e.V. unterstützt wissenschaftliche Forschung im Bereich des funktionalen Großhandels und der intermediären Dienstleistungen. Ihr Z</w:t>
      </w:r>
      <w:r w:rsidR="00A87FAE">
        <w:rPr>
          <w:rFonts w:ascii="Open Sans" w:eastAsia="Calibri" w:hAnsi="Open Sans" w:cs="Open Sans"/>
          <w:kern w:val="2"/>
          <w:sz w:val="20"/>
          <w:szCs w:val="20"/>
          <w:lang w:eastAsia="en-US"/>
          <w14:ligatures w14:val="standardContextual"/>
        </w:rPr>
        <w:t>w</w:t>
      </w:r>
      <w:r w:rsidRPr="00A87FAE">
        <w:rPr>
          <w:rFonts w:ascii="Open Sans" w:eastAsia="Calibri" w:hAnsi="Open Sans" w:cs="Open Sans"/>
          <w:kern w:val="2"/>
          <w:sz w:val="20"/>
          <w:szCs w:val="20"/>
          <w:lang w:eastAsia="en-US"/>
          <w14:ligatures w14:val="standardContextual"/>
        </w:rPr>
        <w:t xml:space="preserve">eck besteht in der Initiierung von Forschungsvorhaben, der Vernetzung von Unternehmen aus dem B2B-Handels- und Dienstleisterumfeld mit Forschungseinrichtungen in trans- und interdisziplinären, anwendungsorientierten Forschungsprojekten, in der Vergabe von Forschungsaufträgen sowie in der Förderung wissenschaftlichen Nachwuchses. Aus diesem Grund vergibt die ForveG einen dotierten Preis, um herausragende Forschungsleistungen von Nachwuchswissenschaftlerinnen und -wissenschaftlern zu würdigen und zu fördern, </w:t>
      </w:r>
      <w:proofErr w:type="gramStart"/>
      <w:r w:rsidR="00F10DAB" w:rsidRPr="00A87FAE">
        <w:rPr>
          <w:rFonts w:ascii="Open Sans" w:eastAsia="Calibri" w:hAnsi="Open Sans" w:cs="Open Sans"/>
          <w:kern w:val="2"/>
          <w:sz w:val="20"/>
          <w:szCs w:val="20"/>
          <w:lang w:eastAsia="en-US"/>
          <w14:ligatures w14:val="standardContextual"/>
        </w:rPr>
        <w:t>die wesentliche Erkenntnisse</w:t>
      </w:r>
      <w:proofErr w:type="gramEnd"/>
      <w:r w:rsidRPr="00A87FAE">
        <w:rPr>
          <w:rFonts w:ascii="Open Sans" w:eastAsia="Calibri" w:hAnsi="Open Sans" w:cs="Open Sans"/>
          <w:kern w:val="2"/>
          <w:sz w:val="20"/>
          <w:szCs w:val="20"/>
          <w:lang w:eastAsia="en-US"/>
          <w14:ligatures w14:val="standardContextual"/>
        </w:rPr>
        <w:t xml:space="preserve"> zum Verständnis und zur Weiterentwicklung des Großhandels sowie seiner volkswirtschaftlichen Funktion beitragen. Insbesondere, aber nicht ausschließlich bedacht werden sollen Arbeiten, welche die Erprobung oder Analyse innovativer Geschäftsmodelle, Technologie und Software oder Erkenntnisse zu internationalen Märkten oder Wettbewerbsbedingungen zum Gegenstand haben.   </w:t>
      </w:r>
    </w:p>
    <w:p w14:paraId="6224B574" w14:textId="77777777" w:rsidR="00D935AA" w:rsidRPr="00A87FAE" w:rsidRDefault="00D935AA" w:rsidP="00DE098C">
      <w:pPr>
        <w:spacing w:after="160" w:line="259" w:lineRule="auto"/>
        <w:jc w:val="both"/>
        <w:rPr>
          <w:rFonts w:ascii="Open Sans" w:eastAsia="Calibri" w:hAnsi="Open Sans" w:cs="Open Sans"/>
          <w:kern w:val="2"/>
          <w:sz w:val="20"/>
          <w:szCs w:val="20"/>
          <w:lang w:eastAsia="en-US"/>
          <w14:ligatures w14:val="standardContextual"/>
        </w:rPr>
      </w:pPr>
    </w:p>
    <w:p w14:paraId="35521F73" w14:textId="77777777" w:rsidR="00D935AA" w:rsidRPr="00A87FAE" w:rsidRDefault="00D935AA" w:rsidP="00DE098C">
      <w:pPr>
        <w:numPr>
          <w:ilvl w:val="0"/>
          <w:numId w:val="1"/>
        </w:numPr>
        <w:spacing w:after="160" w:line="259" w:lineRule="auto"/>
        <w:contextualSpacing/>
        <w:jc w:val="both"/>
        <w:rPr>
          <w:rFonts w:ascii="Open Sans" w:eastAsia="Calibri" w:hAnsi="Open Sans" w:cs="Open Sans"/>
          <w:b/>
          <w:bCs/>
          <w:kern w:val="2"/>
          <w:sz w:val="20"/>
          <w:szCs w:val="20"/>
          <w:lang w:eastAsia="en-US"/>
          <w14:ligatures w14:val="standardContextual"/>
        </w:rPr>
      </w:pPr>
      <w:r w:rsidRPr="00A87FAE">
        <w:rPr>
          <w:rFonts w:ascii="Open Sans" w:eastAsia="Calibri" w:hAnsi="Open Sans" w:cs="Open Sans"/>
          <w:b/>
          <w:bCs/>
          <w:kern w:val="2"/>
          <w:sz w:val="20"/>
          <w:szCs w:val="20"/>
          <w:lang w:eastAsia="en-US"/>
          <w14:ligatures w14:val="standardContextual"/>
        </w:rPr>
        <w:t>Gegenstand des Forschungspreises</w:t>
      </w:r>
    </w:p>
    <w:p w14:paraId="2A8D3F5E" w14:textId="780A58FD" w:rsidR="00D935AA" w:rsidRPr="00A87FAE" w:rsidRDefault="00D935AA" w:rsidP="00DE098C">
      <w:pPr>
        <w:spacing w:after="160" w:line="259" w:lineRule="auto"/>
        <w:jc w:val="both"/>
        <w:rPr>
          <w:rFonts w:ascii="Open Sans" w:eastAsia="Calibri" w:hAnsi="Open Sans" w:cs="Open Sans"/>
          <w:kern w:val="2"/>
          <w:sz w:val="20"/>
          <w:szCs w:val="20"/>
          <w:lang w:eastAsia="en-US"/>
          <w14:ligatures w14:val="standardContextual"/>
        </w:rPr>
      </w:pPr>
      <w:r w:rsidRPr="00A87FAE">
        <w:rPr>
          <w:rFonts w:ascii="Open Sans" w:eastAsia="Calibri" w:hAnsi="Open Sans" w:cs="Open Sans"/>
          <w:kern w:val="2"/>
          <w:sz w:val="20"/>
          <w:szCs w:val="20"/>
          <w:lang w:eastAsia="en-US"/>
          <w14:ligatures w14:val="standardContextual"/>
        </w:rPr>
        <w:t>Gegenstand des Preises ist eine Geldprämie in Höhe von mindestens 3000 Euro (in Worten dreitausend Euro),</w:t>
      </w:r>
      <w:r w:rsidR="00F10DAB">
        <w:rPr>
          <w:rFonts w:ascii="Open Sans" w:eastAsia="Calibri" w:hAnsi="Open Sans" w:cs="Open Sans"/>
          <w:kern w:val="2"/>
          <w:sz w:val="20"/>
          <w:szCs w:val="20"/>
          <w:lang w:eastAsia="en-US"/>
          <w14:ligatures w14:val="standardContextual"/>
        </w:rPr>
        <w:t xml:space="preserve"> </w:t>
      </w:r>
      <w:r w:rsidRPr="00A87FAE">
        <w:rPr>
          <w:rFonts w:ascii="Open Sans" w:eastAsia="Calibri" w:hAnsi="Open Sans" w:cs="Open Sans"/>
          <w:kern w:val="2"/>
          <w:sz w:val="20"/>
          <w:szCs w:val="20"/>
          <w:lang w:eastAsia="en-US"/>
          <w14:ligatures w14:val="standardContextual"/>
        </w:rPr>
        <w:t>die auf ein SEPA-fähiges Konto überwiesen wird. Die Höhe des Preisgeldes kann durch Sponsoren erhöht werde</w:t>
      </w:r>
      <w:r w:rsidR="00CD0E58">
        <w:rPr>
          <w:rFonts w:ascii="Open Sans" w:eastAsia="Calibri" w:hAnsi="Open Sans" w:cs="Open Sans"/>
          <w:kern w:val="2"/>
          <w:sz w:val="20"/>
          <w:szCs w:val="20"/>
          <w:lang w:eastAsia="en-US"/>
          <w14:ligatures w14:val="standardContextual"/>
        </w:rPr>
        <w:t>n</w:t>
      </w:r>
      <w:r w:rsidR="004934B9">
        <w:rPr>
          <w:rFonts w:ascii="Open Sans" w:eastAsia="Calibri" w:hAnsi="Open Sans" w:cs="Open Sans"/>
          <w:kern w:val="2"/>
          <w:sz w:val="20"/>
          <w:szCs w:val="20"/>
          <w:lang w:eastAsia="en-US"/>
          <w14:ligatures w14:val="standardContextual"/>
        </w:rPr>
        <w:t>.</w:t>
      </w:r>
      <w:r w:rsidR="00CD0E58">
        <w:rPr>
          <w:rFonts w:ascii="Open Sans" w:eastAsia="Calibri" w:hAnsi="Open Sans" w:cs="Open Sans"/>
          <w:kern w:val="2"/>
          <w:sz w:val="20"/>
          <w:szCs w:val="20"/>
          <w:lang w:eastAsia="en-US"/>
          <w14:ligatures w14:val="standardContextual"/>
        </w:rPr>
        <w:t xml:space="preserve"> Die ForveG wird dies entsprechend kommunizieren.</w:t>
      </w:r>
      <w:r w:rsidRPr="00A87FAE">
        <w:rPr>
          <w:rFonts w:ascii="Open Sans" w:eastAsia="Calibri" w:hAnsi="Open Sans" w:cs="Open Sans"/>
          <w:kern w:val="2"/>
          <w:sz w:val="20"/>
          <w:szCs w:val="20"/>
          <w:lang w:eastAsia="en-US"/>
          <w14:ligatures w14:val="standardContextual"/>
        </w:rPr>
        <w:t xml:space="preserve"> Etwaige Sponsoren werden über den gesamten Ausschreibe- und Vergabeprozess hinweg transparent gemacht. Über die Vergabe sowie die Preisträgerin oder den Preisträger entscheidet </w:t>
      </w:r>
      <w:r w:rsidRPr="00A87FAE">
        <w:rPr>
          <w:rFonts w:ascii="Open Sans" w:eastAsia="Calibri" w:hAnsi="Open Sans" w:cs="Open Sans"/>
          <w:b/>
          <w:bCs/>
          <w:kern w:val="2"/>
          <w:sz w:val="20"/>
          <w:szCs w:val="20"/>
          <w:lang w:eastAsia="en-US"/>
          <w14:ligatures w14:val="standardContextual"/>
        </w:rPr>
        <w:t>ausschließlich</w:t>
      </w:r>
      <w:r w:rsidRPr="00A87FAE">
        <w:rPr>
          <w:rFonts w:ascii="Open Sans" w:eastAsia="Calibri" w:hAnsi="Open Sans" w:cs="Open Sans"/>
          <w:kern w:val="2"/>
          <w:sz w:val="20"/>
          <w:szCs w:val="20"/>
          <w:lang w:eastAsia="en-US"/>
          <w14:ligatures w14:val="standardContextual"/>
        </w:rPr>
        <w:t xml:space="preserve"> der Vorstand der ForveG gemäß unserer Satzung</w:t>
      </w:r>
      <w:r w:rsidRPr="00A87FAE">
        <w:rPr>
          <w:rFonts w:ascii="Open Sans" w:eastAsia="Calibri" w:hAnsi="Open Sans" w:cs="Open Sans"/>
          <w:b/>
          <w:bCs/>
          <w:kern w:val="2"/>
          <w:sz w:val="20"/>
          <w:szCs w:val="20"/>
          <w:lang w:eastAsia="en-US"/>
          <w14:ligatures w14:val="standardContextual"/>
        </w:rPr>
        <w:t>. Ein Rechtsanspruch besteht nicht, der Rechtsweg ist ausgeschlossen.</w:t>
      </w:r>
      <w:r w:rsidRPr="00A87FAE">
        <w:rPr>
          <w:rFonts w:ascii="Open Sans" w:eastAsia="Calibri" w:hAnsi="Open Sans" w:cs="Open Sans"/>
          <w:kern w:val="2"/>
          <w:sz w:val="20"/>
          <w:szCs w:val="20"/>
          <w:lang w:eastAsia="en-US"/>
          <w14:ligatures w14:val="standardContextual"/>
        </w:rPr>
        <w:t xml:space="preserve"> Grundlage der Entscheidung ist die Empfehlung eines Gutachtergremiums, das durch den Vorstand eingesetzt wird und die </w:t>
      </w:r>
      <w:r w:rsidR="00F10DAB">
        <w:rPr>
          <w:rFonts w:ascii="Open Sans" w:eastAsia="Calibri" w:hAnsi="Open Sans" w:cs="Open Sans"/>
          <w:kern w:val="2"/>
          <w:sz w:val="20"/>
          <w:szCs w:val="20"/>
          <w:lang w:eastAsia="en-US"/>
          <w14:ligatures w14:val="standardContextual"/>
        </w:rPr>
        <w:t>Einreichungen</w:t>
      </w:r>
      <w:r w:rsidRPr="00A87FAE">
        <w:rPr>
          <w:rFonts w:ascii="Open Sans" w:eastAsia="Calibri" w:hAnsi="Open Sans" w:cs="Open Sans"/>
          <w:kern w:val="2"/>
          <w:sz w:val="20"/>
          <w:szCs w:val="20"/>
          <w:lang w:eastAsia="en-US"/>
          <w14:ligatures w14:val="standardContextual"/>
        </w:rPr>
        <w:t xml:space="preserve"> sowohl nach wissenschaftlichen als auch branchenbezogenen Kriterien bewertet</w:t>
      </w:r>
      <w:r w:rsidR="0044195E" w:rsidRPr="00A87FAE">
        <w:rPr>
          <w:rFonts w:ascii="Open Sans" w:eastAsia="Calibri" w:hAnsi="Open Sans" w:cs="Open Sans"/>
          <w:kern w:val="2"/>
          <w:sz w:val="20"/>
          <w:szCs w:val="20"/>
          <w:lang w:eastAsia="en-US"/>
          <w14:ligatures w14:val="standardContextual"/>
        </w:rPr>
        <w:t>.</w:t>
      </w:r>
    </w:p>
    <w:p w14:paraId="07C4C2A8" w14:textId="77777777" w:rsidR="00D935AA" w:rsidRPr="00A87FAE" w:rsidRDefault="00D935AA" w:rsidP="00DE098C">
      <w:pPr>
        <w:spacing w:after="160" w:line="259" w:lineRule="auto"/>
        <w:jc w:val="both"/>
        <w:rPr>
          <w:rFonts w:ascii="Open Sans" w:eastAsia="Calibri" w:hAnsi="Open Sans" w:cs="Open Sans"/>
          <w:kern w:val="2"/>
          <w:sz w:val="20"/>
          <w:szCs w:val="20"/>
          <w:lang w:eastAsia="en-US"/>
          <w14:ligatures w14:val="standardContextual"/>
        </w:rPr>
      </w:pPr>
      <w:r w:rsidRPr="00A87FAE">
        <w:rPr>
          <w:rFonts w:ascii="Open Sans" w:eastAsia="Calibri" w:hAnsi="Open Sans" w:cs="Open Sans"/>
          <w:kern w:val="2"/>
          <w:sz w:val="20"/>
          <w:szCs w:val="20"/>
          <w:lang w:eastAsia="en-US"/>
          <w14:ligatures w14:val="standardContextual"/>
        </w:rPr>
        <w:t>Wir weisen darauf hin, dass Preisträger und Preisträgerinnen selbst für ihre steuerlichen Angelegenheiten verantwortlich sind.</w:t>
      </w:r>
    </w:p>
    <w:p w14:paraId="226C61C7" w14:textId="77777777" w:rsidR="00D935AA" w:rsidRPr="00A87FAE" w:rsidRDefault="00D935AA" w:rsidP="00DE098C">
      <w:pPr>
        <w:spacing w:after="160" w:line="259" w:lineRule="auto"/>
        <w:jc w:val="both"/>
        <w:rPr>
          <w:rFonts w:ascii="Open Sans" w:eastAsia="Calibri" w:hAnsi="Open Sans" w:cs="Open Sans"/>
          <w:kern w:val="2"/>
          <w:sz w:val="20"/>
          <w:szCs w:val="20"/>
          <w:lang w:eastAsia="en-US"/>
          <w14:ligatures w14:val="standardContextual"/>
        </w:rPr>
      </w:pPr>
    </w:p>
    <w:p w14:paraId="32EFD25B" w14:textId="77777777" w:rsidR="00D935AA" w:rsidRPr="00A87FAE" w:rsidRDefault="00D935AA" w:rsidP="00DE098C">
      <w:pPr>
        <w:numPr>
          <w:ilvl w:val="0"/>
          <w:numId w:val="1"/>
        </w:numPr>
        <w:spacing w:after="160" w:line="259" w:lineRule="auto"/>
        <w:contextualSpacing/>
        <w:jc w:val="both"/>
        <w:rPr>
          <w:rFonts w:ascii="Open Sans" w:eastAsia="Calibri" w:hAnsi="Open Sans" w:cs="Open Sans"/>
          <w:b/>
          <w:bCs/>
          <w:kern w:val="2"/>
          <w:sz w:val="20"/>
          <w:szCs w:val="20"/>
          <w:lang w:eastAsia="en-US"/>
          <w14:ligatures w14:val="standardContextual"/>
        </w:rPr>
      </w:pPr>
      <w:r w:rsidRPr="00A87FAE">
        <w:rPr>
          <w:rFonts w:ascii="Open Sans" w:eastAsia="Calibri" w:hAnsi="Open Sans" w:cs="Open Sans"/>
          <w:b/>
          <w:bCs/>
          <w:kern w:val="2"/>
          <w:sz w:val="20"/>
          <w:szCs w:val="20"/>
          <w:lang w:eastAsia="en-US"/>
          <w14:ligatures w14:val="standardContextual"/>
        </w:rPr>
        <w:t xml:space="preserve">Bewerbungsmodalitäten </w:t>
      </w:r>
    </w:p>
    <w:p w14:paraId="3565B657" w14:textId="77777777" w:rsidR="00D935AA" w:rsidRPr="00A87FAE" w:rsidRDefault="00D935AA" w:rsidP="00DE098C">
      <w:pPr>
        <w:spacing w:after="160" w:line="259" w:lineRule="auto"/>
        <w:jc w:val="both"/>
        <w:rPr>
          <w:rFonts w:ascii="Open Sans" w:eastAsia="Calibri" w:hAnsi="Open Sans" w:cs="Open Sans"/>
          <w:kern w:val="2"/>
          <w:sz w:val="20"/>
          <w:szCs w:val="20"/>
          <w:lang w:eastAsia="en-US"/>
          <w14:ligatures w14:val="standardContextual"/>
        </w:rPr>
      </w:pPr>
      <w:r w:rsidRPr="00A87FAE">
        <w:rPr>
          <w:rFonts w:ascii="Open Sans" w:eastAsia="Calibri" w:hAnsi="Open Sans" w:cs="Open Sans"/>
          <w:kern w:val="2"/>
          <w:sz w:val="20"/>
          <w:szCs w:val="20"/>
          <w:lang w:eastAsia="en-US"/>
          <w14:ligatures w14:val="standardContextual"/>
        </w:rPr>
        <w:t>Eingeladen sich für den Förderpreis zu bewerben sind alle volljährigen Personen, die ein Forschungsprojekt erfolgreich abschlossen haben, das mindestens folgende Kriterien erfüllt:</w:t>
      </w:r>
    </w:p>
    <w:p w14:paraId="1A10F3CF" w14:textId="145BF9BA" w:rsidR="00D935AA" w:rsidRPr="00A87FAE" w:rsidRDefault="00D935AA" w:rsidP="00DE098C">
      <w:pPr>
        <w:numPr>
          <w:ilvl w:val="0"/>
          <w:numId w:val="3"/>
        </w:numPr>
        <w:spacing w:after="160" w:line="259" w:lineRule="auto"/>
        <w:contextualSpacing/>
        <w:jc w:val="both"/>
        <w:rPr>
          <w:rFonts w:ascii="Open Sans" w:eastAsia="Calibri" w:hAnsi="Open Sans" w:cs="Open Sans"/>
          <w:kern w:val="2"/>
          <w:sz w:val="20"/>
          <w:szCs w:val="20"/>
          <w:lang w:eastAsia="en-US"/>
          <w14:ligatures w14:val="standardContextual"/>
        </w:rPr>
      </w:pPr>
      <w:r w:rsidRPr="00A87FAE">
        <w:rPr>
          <w:rFonts w:ascii="Open Sans" w:eastAsia="Calibri" w:hAnsi="Open Sans" w:cs="Open Sans"/>
          <w:kern w:val="2"/>
          <w:sz w:val="20"/>
          <w:szCs w:val="20"/>
          <w:lang w:eastAsia="en-US"/>
          <w14:ligatures w14:val="standardContextual"/>
        </w:rPr>
        <w:t>Das Forschungsprojekt muss zu weit überwiegenden Teilen einem oder mehreren der folgenden Forschungsfelder zuzuordnen sein:</w:t>
      </w:r>
    </w:p>
    <w:p w14:paraId="6F050114" w14:textId="3ABFA5F0" w:rsidR="001C0E93" w:rsidRPr="00A87FAE" w:rsidRDefault="00DE098C" w:rsidP="00DE098C">
      <w:pPr>
        <w:spacing w:after="160" w:line="259" w:lineRule="auto"/>
        <w:contextualSpacing/>
        <w:jc w:val="both"/>
        <w:rPr>
          <w:rFonts w:ascii="Open Sans" w:eastAsia="Calibri" w:hAnsi="Open Sans" w:cs="Open Sans"/>
          <w:kern w:val="2"/>
          <w:sz w:val="20"/>
          <w:szCs w:val="20"/>
          <w:lang w:eastAsia="en-US"/>
          <w14:ligatures w14:val="standardContextual"/>
        </w:rPr>
      </w:pPr>
      <w:r>
        <w:rPr>
          <w:rFonts w:ascii="Open Sans" w:eastAsia="Calibri" w:hAnsi="Open Sans" w:cs="Open Sans"/>
          <w:kern w:val="2"/>
          <w:sz w:val="20"/>
          <w:szCs w:val="20"/>
          <w:lang w:eastAsia="en-US"/>
          <w14:ligatures w14:val="standardContextual"/>
        </w:rPr>
        <w:br/>
      </w:r>
      <w:r>
        <w:rPr>
          <w:rFonts w:ascii="Open Sans" w:eastAsia="Calibri" w:hAnsi="Open Sans" w:cs="Open Sans"/>
          <w:kern w:val="2"/>
          <w:sz w:val="20"/>
          <w:szCs w:val="20"/>
          <w:lang w:eastAsia="en-US"/>
          <w14:ligatures w14:val="standardContextual"/>
        </w:rPr>
        <w:br/>
      </w:r>
    </w:p>
    <w:p w14:paraId="17661BA0" w14:textId="77777777" w:rsidR="00D935AA" w:rsidRPr="00A87FAE" w:rsidRDefault="00D935AA" w:rsidP="00DE098C">
      <w:pPr>
        <w:numPr>
          <w:ilvl w:val="0"/>
          <w:numId w:val="2"/>
        </w:numPr>
        <w:spacing w:after="160" w:line="259" w:lineRule="auto"/>
        <w:contextualSpacing/>
        <w:jc w:val="both"/>
        <w:rPr>
          <w:rFonts w:ascii="Open Sans" w:eastAsia="Calibri" w:hAnsi="Open Sans" w:cs="Open Sans"/>
          <w:kern w:val="2"/>
          <w:sz w:val="20"/>
          <w:szCs w:val="20"/>
          <w:lang w:eastAsia="en-US"/>
          <w14:ligatures w14:val="standardContextual"/>
        </w:rPr>
      </w:pPr>
      <w:r w:rsidRPr="00A87FAE">
        <w:rPr>
          <w:rFonts w:ascii="Open Sans" w:eastAsia="Calibri" w:hAnsi="Open Sans" w:cs="Open Sans"/>
          <w:kern w:val="2"/>
          <w:sz w:val="20"/>
          <w:szCs w:val="20"/>
          <w:lang w:eastAsia="en-US"/>
          <w14:ligatures w14:val="standardContextual"/>
        </w:rPr>
        <w:lastRenderedPageBreak/>
        <w:t>Technologie, Software, Künstliche Intelligenz</w:t>
      </w:r>
    </w:p>
    <w:p w14:paraId="433E9148" w14:textId="77777777" w:rsidR="00D935AA" w:rsidRPr="00A87FAE" w:rsidRDefault="00D935AA" w:rsidP="00DE098C">
      <w:pPr>
        <w:numPr>
          <w:ilvl w:val="0"/>
          <w:numId w:val="2"/>
        </w:numPr>
        <w:spacing w:after="160" w:line="259" w:lineRule="auto"/>
        <w:contextualSpacing/>
        <w:jc w:val="both"/>
        <w:rPr>
          <w:rFonts w:ascii="Open Sans" w:eastAsia="Calibri" w:hAnsi="Open Sans" w:cs="Open Sans"/>
          <w:kern w:val="2"/>
          <w:sz w:val="20"/>
          <w:szCs w:val="20"/>
          <w:lang w:eastAsia="en-US"/>
          <w14:ligatures w14:val="standardContextual"/>
        </w:rPr>
      </w:pPr>
      <w:r w:rsidRPr="00A87FAE">
        <w:rPr>
          <w:rFonts w:ascii="Open Sans" w:eastAsia="Calibri" w:hAnsi="Open Sans" w:cs="Open Sans"/>
          <w:kern w:val="2"/>
          <w:sz w:val="20"/>
          <w:szCs w:val="20"/>
          <w:lang w:eastAsia="en-US"/>
          <w14:ligatures w14:val="standardContextual"/>
        </w:rPr>
        <w:t>Konzeption oder Erprobung/Evaluation neuer Geschäftsmodelle</w:t>
      </w:r>
    </w:p>
    <w:p w14:paraId="52584DEC" w14:textId="77777777" w:rsidR="00D935AA" w:rsidRPr="00A87FAE" w:rsidRDefault="00D935AA" w:rsidP="00DE098C">
      <w:pPr>
        <w:numPr>
          <w:ilvl w:val="0"/>
          <w:numId w:val="2"/>
        </w:numPr>
        <w:spacing w:after="160" w:line="259" w:lineRule="auto"/>
        <w:contextualSpacing/>
        <w:jc w:val="both"/>
        <w:rPr>
          <w:rFonts w:ascii="Open Sans" w:eastAsia="Calibri" w:hAnsi="Open Sans" w:cs="Open Sans"/>
          <w:kern w:val="2"/>
          <w:sz w:val="20"/>
          <w:szCs w:val="20"/>
          <w:lang w:eastAsia="en-US"/>
          <w14:ligatures w14:val="standardContextual"/>
        </w:rPr>
      </w:pPr>
      <w:r w:rsidRPr="00A87FAE">
        <w:rPr>
          <w:rFonts w:ascii="Open Sans" w:eastAsia="Calibri" w:hAnsi="Open Sans" w:cs="Open Sans"/>
          <w:kern w:val="2"/>
          <w:sz w:val="20"/>
          <w:szCs w:val="20"/>
          <w:lang w:eastAsia="en-US"/>
          <w14:ligatures w14:val="standardContextual"/>
        </w:rPr>
        <w:t>Logistik</w:t>
      </w:r>
    </w:p>
    <w:p w14:paraId="20B23D9D" w14:textId="77777777" w:rsidR="00D935AA" w:rsidRPr="00A87FAE" w:rsidRDefault="00D935AA" w:rsidP="00DE098C">
      <w:pPr>
        <w:numPr>
          <w:ilvl w:val="0"/>
          <w:numId w:val="2"/>
        </w:numPr>
        <w:spacing w:after="160" w:line="259" w:lineRule="auto"/>
        <w:contextualSpacing/>
        <w:jc w:val="both"/>
        <w:rPr>
          <w:rFonts w:ascii="Open Sans" w:eastAsia="Calibri" w:hAnsi="Open Sans" w:cs="Open Sans"/>
          <w:kern w:val="2"/>
          <w:sz w:val="20"/>
          <w:szCs w:val="20"/>
          <w:lang w:eastAsia="en-US"/>
          <w14:ligatures w14:val="standardContextual"/>
        </w:rPr>
      </w:pPr>
      <w:r w:rsidRPr="00A87FAE">
        <w:rPr>
          <w:rFonts w:ascii="Open Sans" w:eastAsia="Calibri" w:hAnsi="Open Sans" w:cs="Open Sans"/>
          <w:kern w:val="2"/>
          <w:sz w:val="20"/>
          <w:szCs w:val="20"/>
          <w:lang w:eastAsia="en-US"/>
          <w14:ligatures w14:val="standardContextual"/>
        </w:rPr>
        <w:t>Marktanalysen</w:t>
      </w:r>
    </w:p>
    <w:p w14:paraId="70F27292" w14:textId="77777777" w:rsidR="00D935AA" w:rsidRPr="00A87FAE" w:rsidRDefault="00D935AA" w:rsidP="00DE098C">
      <w:pPr>
        <w:numPr>
          <w:ilvl w:val="0"/>
          <w:numId w:val="2"/>
        </w:numPr>
        <w:spacing w:after="160" w:line="259" w:lineRule="auto"/>
        <w:contextualSpacing/>
        <w:jc w:val="both"/>
        <w:rPr>
          <w:rFonts w:ascii="Open Sans" w:eastAsia="Calibri" w:hAnsi="Open Sans" w:cs="Open Sans"/>
          <w:kern w:val="2"/>
          <w:sz w:val="20"/>
          <w:szCs w:val="20"/>
          <w:lang w:eastAsia="en-US"/>
          <w14:ligatures w14:val="standardContextual"/>
        </w:rPr>
      </w:pPr>
      <w:r w:rsidRPr="00A87FAE">
        <w:rPr>
          <w:rFonts w:ascii="Open Sans" w:eastAsia="Calibri" w:hAnsi="Open Sans" w:cs="Open Sans"/>
          <w:kern w:val="2"/>
          <w:sz w:val="20"/>
          <w:szCs w:val="20"/>
          <w:lang w:eastAsia="en-US"/>
          <w14:ligatures w14:val="standardContextual"/>
        </w:rPr>
        <w:t>Betriebswirtschaft</w:t>
      </w:r>
    </w:p>
    <w:p w14:paraId="20223045" w14:textId="77777777" w:rsidR="00D935AA" w:rsidRPr="00A87FAE" w:rsidRDefault="00D935AA" w:rsidP="00DE098C">
      <w:pPr>
        <w:numPr>
          <w:ilvl w:val="0"/>
          <w:numId w:val="2"/>
        </w:numPr>
        <w:spacing w:after="160" w:line="259" w:lineRule="auto"/>
        <w:contextualSpacing/>
        <w:jc w:val="both"/>
        <w:rPr>
          <w:rFonts w:ascii="Open Sans" w:eastAsia="Calibri" w:hAnsi="Open Sans" w:cs="Open Sans"/>
          <w:kern w:val="2"/>
          <w:sz w:val="20"/>
          <w:szCs w:val="20"/>
          <w:lang w:eastAsia="en-US"/>
          <w14:ligatures w14:val="standardContextual"/>
        </w:rPr>
      </w:pPr>
      <w:r w:rsidRPr="00A87FAE">
        <w:rPr>
          <w:rFonts w:ascii="Open Sans" w:eastAsia="Calibri" w:hAnsi="Open Sans" w:cs="Open Sans"/>
          <w:kern w:val="2"/>
          <w:sz w:val="20"/>
          <w:szCs w:val="20"/>
          <w:lang w:eastAsia="en-US"/>
          <w14:ligatures w14:val="standardContextual"/>
        </w:rPr>
        <w:t>Volkswirtschaft</w:t>
      </w:r>
    </w:p>
    <w:p w14:paraId="5AA289D4" w14:textId="77777777" w:rsidR="00D935AA" w:rsidRPr="00A87FAE" w:rsidRDefault="00D935AA" w:rsidP="00DE098C">
      <w:pPr>
        <w:numPr>
          <w:ilvl w:val="0"/>
          <w:numId w:val="2"/>
        </w:numPr>
        <w:spacing w:after="160" w:line="259" w:lineRule="auto"/>
        <w:contextualSpacing/>
        <w:jc w:val="both"/>
        <w:rPr>
          <w:rFonts w:ascii="Open Sans" w:eastAsia="Calibri" w:hAnsi="Open Sans" w:cs="Open Sans"/>
          <w:kern w:val="2"/>
          <w:sz w:val="20"/>
          <w:szCs w:val="20"/>
          <w:lang w:eastAsia="en-US"/>
          <w14:ligatures w14:val="standardContextual"/>
        </w:rPr>
      </w:pPr>
      <w:r w:rsidRPr="00A87FAE">
        <w:rPr>
          <w:rFonts w:ascii="Open Sans" w:eastAsia="Calibri" w:hAnsi="Open Sans" w:cs="Open Sans"/>
          <w:kern w:val="2"/>
          <w:sz w:val="20"/>
          <w:szCs w:val="20"/>
          <w:lang w:eastAsia="en-US"/>
          <w14:ligatures w14:val="standardContextual"/>
        </w:rPr>
        <w:t>Wirtschaftspädagogik, Didaktik, berufliche Bildung</w:t>
      </w:r>
    </w:p>
    <w:p w14:paraId="288E5DCA" w14:textId="77777777" w:rsidR="00D935AA" w:rsidRPr="00A87FAE" w:rsidRDefault="00D935AA" w:rsidP="00DE098C">
      <w:pPr>
        <w:numPr>
          <w:ilvl w:val="0"/>
          <w:numId w:val="2"/>
        </w:numPr>
        <w:spacing w:after="160" w:line="259" w:lineRule="auto"/>
        <w:contextualSpacing/>
        <w:jc w:val="both"/>
        <w:rPr>
          <w:rFonts w:ascii="Open Sans" w:eastAsia="Calibri" w:hAnsi="Open Sans" w:cs="Open Sans"/>
          <w:kern w:val="2"/>
          <w:sz w:val="20"/>
          <w:szCs w:val="20"/>
          <w:lang w:eastAsia="en-US"/>
          <w14:ligatures w14:val="standardContextual"/>
        </w:rPr>
      </w:pPr>
      <w:r w:rsidRPr="00A87FAE">
        <w:rPr>
          <w:rFonts w:ascii="Open Sans" w:eastAsia="Calibri" w:hAnsi="Open Sans" w:cs="Open Sans"/>
          <w:kern w:val="2"/>
          <w:sz w:val="20"/>
          <w:szCs w:val="20"/>
          <w:lang w:eastAsia="en-US"/>
          <w14:ligatures w14:val="standardContextual"/>
        </w:rPr>
        <w:t>Nachhaltigkeit</w:t>
      </w:r>
    </w:p>
    <w:p w14:paraId="78B0C4B4" w14:textId="77777777" w:rsidR="00D935AA" w:rsidRPr="00A87FAE" w:rsidRDefault="00D935AA" w:rsidP="00DE098C">
      <w:pPr>
        <w:numPr>
          <w:ilvl w:val="0"/>
          <w:numId w:val="2"/>
        </w:numPr>
        <w:spacing w:after="160" w:line="259" w:lineRule="auto"/>
        <w:contextualSpacing/>
        <w:jc w:val="both"/>
        <w:rPr>
          <w:rFonts w:ascii="Open Sans" w:eastAsia="Calibri" w:hAnsi="Open Sans" w:cs="Open Sans"/>
          <w:kern w:val="2"/>
          <w:sz w:val="20"/>
          <w:szCs w:val="20"/>
          <w:lang w:eastAsia="en-US"/>
          <w14:ligatures w14:val="standardContextual"/>
        </w:rPr>
      </w:pPr>
      <w:r w:rsidRPr="00A87FAE">
        <w:rPr>
          <w:rFonts w:ascii="Open Sans" w:eastAsia="Calibri" w:hAnsi="Open Sans" w:cs="Open Sans"/>
          <w:kern w:val="2"/>
          <w:sz w:val="20"/>
          <w:szCs w:val="20"/>
          <w:lang w:eastAsia="en-US"/>
          <w14:ligatures w14:val="standardContextual"/>
        </w:rPr>
        <w:t>Wirtschaftspsychologie</w:t>
      </w:r>
    </w:p>
    <w:p w14:paraId="307721AE" w14:textId="578FD06B" w:rsidR="00D935AA" w:rsidRPr="00A87FAE" w:rsidRDefault="00D935AA" w:rsidP="00DE098C">
      <w:pPr>
        <w:numPr>
          <w:ilvl w:val="0"/>
          <w:numId w:val="2"/>
        </w:numPr>
        <w:spacing w:after="160" w:line="259" w:lineRule="auto"/>
        <w:contextualSpacing/>
        <w:jc w:val="both"/>
        <w:rPr>
          <w:rFonts w:ascii="Open Sans" w:eastAsia="Calibri" w:hAnsi="Open Sans" w:cs="Open Sans"/>
          <w:kern w:val="2"/>
          <w:sz w:val="20"/>
          <w:szCs w:val="20"/>
          <w:lang w:eastAsia="en-US"/>
          <w14:ligatures w14:val="standardContextual"/>
        </w:rPr>
      </w:pPr>
      <w:r w:rsidRPr="00A87FAE">
        <w:rPr>
          <w:rFonts w:ascii="Open Sans" w:eastAsia="Calibri" w:hAnsi="Open Sans" w:cs="Open Sans"/>
          <w:kern w:val="2"/>
          <w:sz w:val="20"/>
          <w:szCs w:val="20"/>
          <w:lang w:eastAsia="en-US"/>
          <w14:ligatures w14:val="standardContextual"/>
        </w:rPr>
        <w:t>Wirtschaftssoziologie</w:t>
      </w:r>
    </w:p>
    <w:p w14:paraId="433B758F" w14:textId="77777777" w:rsidR="00D935AA" w:rsidRPr="00A87FAE" w:rsidRDefault="00D935AA" w:rsidP="00DE098C">
      <w:pPr>
        <w:spacing w:after="160" w:line="259" w:lineRule="auto"/>
        <w:ind w:left="1428"/>
        <w:contextualSpacing/>
        <w:jc w:val="both"/>
        <w:rPr>
          <w:rFonts w:ascii="Open Sans" w:eastAsia="Calibri" w:hAnsi="Open Sans" w:cs="Open Sans"/>
          <w:kern w:val="2"/>
          <w:sz w:val="20"/>
          <w:szCs w:val="20"/>
          <w:lang w:eastAsia="en-US"/>
          <w14:ligatures w14:val="standardContextual"/>
        </w:rPr>
      </w:pPr>
    </w:p>
    <w:p w14:paraId="6553E674" w14:textId="4004D7D9" w:rsidR="00D935AA" w:rsidRPr="00A87FAE" w:rsidRDefault="00D935AA" w:rsidP="00DE098C">
      <w:pPr>
        <w:spacing w:after="160" w:line="259" w:lineRule="auto"/>
        <w:ind w:left="1080"/>
        <w:jc w:val="both"/>
        <w:rPr>
          <w:rFonts w:ascii="Open Sans" w:eastAsia="Calibri" w:hAnsi="Open Sans" w:cs="Open Sans"/>
          <w:kern w:val="2"/>
          <w:sz w:val="20"/>
          <w:szCs w:val="20"/>
          <w:lang w:eastAsia="en-US"/>
          <w14:ligatures w14:val="standardContextual"/>
        </w:rPr>
      </w:pPr>
      <w:r w:rsidRPr="00A87FAE">
        <w:rPr>
          <w:rFonts w:ascii="Open Sans" w:eastAsia="Calibri" w:hAnsi="Open Sans" w:cs="Open Sans"/>
          <w:kern w:val="2"/>
          <w:sz w:val="20"/>
          <w:szCs w:val="20"/>
          <w:lang w:eastAsia="en-US"/>
          <w14:ligatures w14:val="standardContextual"/>
        </w:rPr>
        <w:t xml:space="preserve">Darüber hinaus muss eine hohe </w:t>
      </w:r>
      <w:r w:rsidRPr="00A87FAE">
        <w:rPr>
          <w:rFonts w:ascii="Open Sans" w:eastAsia="Calibri" w:hAnsi="Open Sans" w:cs="Open Sans"/>
          <w:b/>
          <w:bCs/>
          <w:kern w:val="2"/>
          <w:sz w:val="20"/>
          <w:szCs w:val="20"/>
          <w:lang w:eastAsia="en-US"/>
          <w14:ligatures w14:val="standardContextual"/>
        </w:rPr>
        <w:t>Relevanz</w:t>
      </w:r>
      <w:r w:rsidRPr="00A87FAE">
        <w:rPr>
          <w:rFonts w:ascii="Open Sans" w:eastAsia="Calibri" w:hAnsi="Open Sans" w:cs="Open Sans"/>
          <w:kern w:val="2"/>
          <w:sz w:val="20"/>
          <w:szCs w:val="20"/>
          <w:lang w:eastAsia="en-US"/>
          <w14:ligatures w14:val="standardContextual"/>
        </w:rPr>
        <w:t xml:space="preserve"> der jeweiligen Forschungsergebnisse </w:t>
      </w:r>
      <w:r w:rsidRPr="00A87FAE">
        <w:rPr>
          <w:rFonts w:ascii="Open Sans" w:eastAsia="Calibri" w:hAnsi="Open Sans" w:cs="Open Sans"/>
          <w:b/>
          <w:bCs/>
          <w:kern w:val="2"/>
          <w:sz w:val="20"/>
          <w:szCs w:val="20"/>
          <w:lang w:eastAsia="en-US"/>
          <w14:ligatures w14:val="standardContextual"/>
        </w:rPr>
        <w:t>für den funktionalen Großhandel</w:t>
      </w:r>
      <w:r w:rsidRPr="00A87FAE">
        <w:rPr>
          <w:rFonts w:ascii="Open Sans" w:eastAsia="Calibri" w:hAnsi="Open Sans" w:cs="Open Sans"/>
          <w:kern w:val="2"/>
          <w:sz w:val="20"/>
          <w:szCs w:val="20"/>
          <w:lang w:eastAsia="en-US"/>
          <w14:ligatures w14:val="standardContextual"/>
        </w:rPr>
        <w:t xml:space="preserve"> ausdrücklich begründet werden.  Sollte sich eine Arbeit nicht überwiegend den Feldern a-j zuordnen lassen, eine entsprechende Relevanz für den Großhandel aber bestehen, kann diese begründet werden</w:t>
      </w:r>
      <w:r w:rsidR="0044195E" w:rsidRPr="00A87FAE">
        <w:rPr>
          <w:rFonts w:ascii="Open Sans" w:eastAsia="Calibri" w:hAnsi="Open Sans" w:cs="Open Sans"/>
          <w:kern w:val="2"/>
          <w:sz w:val="20"/>
          <w:szCs w:val="20"/>
          <w:lang w:eastAsia="en-US"/>
          <w14:ligatures w14:val="standardContextual"/>
        </w:rPr>
        <w:t xml:space="preserve"> (siehe 4.</w:t>
      </w:r>
      <w:r w:rsidR="00A87FAE">
        <w:rPr>
          <w:rFonts w:ascii="Open Sans" w:eastAsia="Calibri" w:hAnsi="Open Sans" w:cs="Open Sans"/>
          <w:kern w:val="2"/>
          <w:sz w:val="20"/>
          <w:szCs w:val="20"/>
          <w:lang w:eastAsia="en-US"/>
          <w14:ligatures w14:val="standardContextual"/>
        </w:rPr>
        <w:t xml:space="preserve"> </w:t>
      </w:r>
      <w:r w:rsidR="0044195E" w:rsidRPr="00A87FAE">
        <w:rPr>
          <w:rFonts w:ascii="Open Sans" w:eastAsia="Calibri" w:hAnsi="Open Sans" w:cs="Open Sans"/>
          <w:kern w:val="2"/>
          <w:sz w:val="20"/>
          <w:szCs w:val="20"/>
          <w:lang w:eastAsia="en-US"/>
          <w14:ligatures w14:val="standardContextual"/>
        </w:rPr>
        <w:t>II.)</w:t>
      </w:r>
      <w:r w:rsidRPr="00A87FAE">
        <w:rPr>
          <w:rFonts w:ascii="Open Sans" w:eastAsia="Calibri" w:hAnsi="Open Sans" w:cs="Open Sans"/>
          <w:kern w:val="2"/>
          <w:sz w:val="20"/>
          <w:szCs w:val="20"/>
          <w:lang w:eastAsia="en-US"/>
          <w14:ligatures w14:val="standardContextual"/>
        </w:rPr>
        <w:t xml:space="preserve">.  </w:t>
      </w:r>
    </w:p>
    <w:p w14:paraId="7E72D3C4" w14:textId="77777777" w:rsidR="0044195E" w:rsidRPr="00A87FAE" w:rsidRDefault="00D935AA" w:rsidP="00DE098C">
      <w:pPr>
        <w:numPr>
          <w:ilvl w:val="0"/>
          <w:numId w:val="3"/>
        </w:numPr>
        <w:spacing w:after="160" w:line="259" w:lineRule="auto"/>
        <w:contextualSpacing/>
        <w:jc w:val="both"/>
        <w:rPr>
          <w:rFonts w:ascii="Open Sans" w:eastAsia="Calibri" w:hAnsi="Open Sans" w:cs="Open Sans"/>
          <w:kern w:val="2"/>
          <w:sz w:val="20"/>
          <w:szCs w:val="20"/>
          <w:lang w:eastAsia="en-US"/>
          <w14:ligatures w14:val="standardContextual"/>
        </w:rPr>
      </w:pPr>
      <w:r w:rsidRPr="00A87FAE">
        <w:rPr>
          <w:rFonts w:ascii="Open Sans" w:eastAsia="Calibri" w:hAnsi="Open Sans" w:cs="Open Sans"/>
          <w:kern w:val="2"/>
          <w:sz w:val="20"/>
          <w:szCs w:val="20"/>
          <w:lang w:eastAsia="en-US"/>
          <w14:ligatures w14:val="standardContextual"/>
        </w:rPr>
        <w:t>Die Arbeit muss an einer öffentlichen oder privaten (vom Wissenschaftsrat akkreditierten) Hochschule oder sonstigen, anerkannten Forschungseinrichtung zum Zwecke der Erlangung des akademischen Grads „</w:t>
      </w:r>
      <w:r w:rsidRPr="00A87FAE">
        <w:rPr>
          <w:rFonts w:ascii="Open Sans" w:eastAsia="Calibri" w:hAnsi="Open Sans" w:cs="Open Sans"/>
          <w:b/>
          <w:bCs/>
          <w:kern w:val="2"/>
          <w:sz w:val="20"/>
          <w:szCs w:val="20"/>
          <w:lang w:eastAsia="en-US"/>
          <w14:ligatures w14:val="standardContextual"/>
        </w:rPr>
        <w:t>Master</w:t>
      </w:r>
      <w:r w:rsidRPr="00A87FAE">
        <w:rPr>
          <w:rFonts w:ascii="Open Sans" w:eastAsia="Calibri" w:hAnsi="Open Sans" w:cs="Open Sans"/>
          <w:kern w:val="2"/>
          <w:sz w:val="20"/>
          <w:szCs w:val="20"/>
          <w:lang w:eastAsia="en-US"/>
          <w14:ligatures w14:val="standardContextual"/>
        </w:rPr>
        <w:t xml:space="preserve">“ (äquivalent Staatsexamen oder Diplom) oder als </w:t>
      </w:r>
      <w:r w:rsidRPr="00A87FAE">
        <w:rPr>
          <w:rFonts w:ascii="Open Sans" w:eastAsia="Calibri" w:hAnsi="Open Sans" w:cs="Open Sans"/>
          <w:b/>
          <w:bCs/>
          <w:kern w:val="2"/>
          <w:sz w:val="20"/>
          <w:szCs w:val="20"/>
          <w:lang w:eastAsia="en-US"/>
          <w14:ligatures w14:val="standardContextual"/>
        </w:rPr>
        <w:t>Dissertation</w:t>
      </w:r>
      <w:r w:rsidRPr="00A87FAE">
        <w:rPr>
          <w:rFonts w:ascii="Open Sans" w:eastAsia="Calibri" w:hAnsi="Open Sans" w:cs="Open Sans"/>
          <w:kern w:val="2"/>
          <w:sz w:val="20"/>
          <w:szCs w:val="20"/>
          <w:lang w:eastAsia="en-US"/>
          <w14:ligatures w14:val="standardContextual"/>
        </w:rPr>
        <w:t xml:space="preserve"> (oder Äquivalent) entstanden sein. Alternativ kann die einzureichende Arbeit auch im Rahmen einer </w:t>
      </w:r>
      <w:r w:rsidRPr="00A87FAE">
        <w:rPr>
          <w:rFonts w:ascii="Open Sans" w:eastAsia="Calibri" w:hAnsi="Open Sans" w:cs="Open Sans"/>
          <w:b/>
          <w:bCs/>
          <w:kern w:val="2"/>
          <w:sz w:val="20"/>
          <w:szCs w:val="20"/>
          <w:lang w:eastAsia="en-US"/>
          <w14:ligatures w14:val="standardContextual"/>
        </w:rPr>
        <w:t>Nachwuchsforschergruppe</w:t>
      </w:r>
      <w:r w:rsidRPr="00A87FAE">
        <w:rPr>
          <w:rFonts w:ascii="Open Sans" w:eastAsia="Calibri" w:hAnsi="Open Sans" w:cs="Open Sans"/>
          <w:kern w:val="2"/>
          <w:sz w:val="20"/>
          <w:szCs w:val="20"/>
          <w:lang w:eastAsia="en-US"/>
          <w14:ligatures w14:val="standardContextual"/>
        </w:rPr>
        <w:t xml:space="preserve"> oder eines mit </w:t>
      </w:r>
      <w:r w:rsidRPr="00A87FAE">
        <w:rPr>
          <w:rFonts w:ascii="Open Sans" w:eastAsia="Calibri" w:hAnsi="Open Sans" w:cs="Open Sans"/>
          <w:b/>
          <w:bCs/>
          <w:kern w:val="2"/>
          <w:sz w:val="20"/>
          <w:szCs w:val="20"/>
          <w:lang w:eastAsia="en-US"/>
          <w14:ligatures w14:val="standardContextual"/>
        </w:rPr>
        <w:t>Drittmitteln</w:t>
      </w:r>
      <w:r w:rsidRPr="00A87FAE">
        <w:rPr>
          <w:rFonts w:ascii="Open Sans" w:eastAsia="Calibri" w:hAnsi="Open Sans" w:cs="Open Sans"/>
          <w:kern w:val="2"/>
          <w:sz w:val="20"/>
          <w:szCs w:val="20"/>
          <w:lang w:eastAsia="en-US"/>
          <w14:ligatures w14:val="standardContextual"/>
        </w:rPr>
        <w:t xml:space="preserve"> finanzierten Projekts entstanden sein, sofern die einreichende Person den akademischen Grad „Master“ (oder Äquivalent) bereits erworben hat. Die Exzellenz der Arbeit muss in diesem Fall separat belegt werden (beispielsweise durch entsprechende Gutachten oder renommierte Publikationen).</w:t>
      </w:r>
    </w:p>
    <w:p w14:paraId="5EBCCC9A" w14:textId="16330FB3" w:rsidR="00D935AA" w:rsidRPr="00A87FAE" w:rsidRDefault="00D935AA" w:rsidP="00DE098C">
      <w:pPr>
        <w:spacing w:after="160" w:line="259" w:lineRule="auto"/>
        <w:ind w:left="1080"/>
        <w:contextualSpacing/>
        <w:jc w:val="both"/>
        <w:rPr>
          <w:rFonts w:ascii="Open Sans" w:eastAsia="Calibri" w:hAnsi="Open Sans" w:cs="Open Sans"/>
          <w:kern w:val="2"/>
          <w:sz w:val="20"/>
          <w:szCs w:val="20"/>
          <w:lang w:eastAsia="en-US"/>
          <w14:ligatures w14:val="standardContextual"/>
        </w:rPr>
      </w:pPr>
    </w:p>
    <w:p w14:paraId="0C020F55" w14:textId="3FF2B6D6" w:rsidR="00D935AA" w:rsidRPr="00A87FAE" w:rsidRDefault="00D935AA" w:rsidP="00DE098C">
      <w:pPr>
        <w:numPr>
          <w:ilvl w:val="0"/>
          <w:numId w:val="3"/>
        </w:numPr>
        <w:spacing w:after="160" w:line="259" w:lineRule="auto"/>
        <w:contextualSpacing/>
        <w:jc w:val="both"/>
        <w:rPr>
          <w:rFonts w:ascii="Open Sans" w:eastAsia="Calibri" w:hAnsi="Open Sans" w:cs="Open Sans"/>
          <w:kern w:val="2"/>
          <w:sz w:val="20"/>
          <w:szCs w:val="20"/>
          <w:lang w:eastAsia="en-US"/>
          <w14:ligatures w14:val="standardContextual"/>
        </w:rPr>
      </w:pPr>
      <w:r w:rsidRPr="00A87FAE">
        <w:rPr>
          <w:rFonts w:ascii="Open Sans" w:eastAsia="Calibri" w:hAnsi="Open Sans" w:cs="Open Sans"/>
          <w:kern w:val="2"/>
          <w:sz w:val="20"/>
          <w:szCs w:val="20"/>
          <w:lang w:eastAsia="en-US"/>
          <w14:ligatures w14:val="standardContextual"/>
        </w:rPr>
        <w:t xml:space="preserve">Sollte die Arbeit an einer Universität, Fakultät oder </w:t>
      </w:r>
      <w:r w:rsidRPr="00A87FAE">
        <w:rPr>
          <w:rFonts w:ascii="Open Sans" w:eastAsia="Calibri" w:hAnsi="Open Sans" w:cs="Open Sans"/>
          <w:b/>
          <w:bCs/>
          <w:kern w:val="2"/>
          <w:sz w:val="20"/>
          <w:szCs w:val="20"/>
          <w:lang w:eastAsia="en-US"/>
          <w14:ligatures w14:val="standardContextual"/>
        </w:rPr>
        <w:t>Forschungseinrichtung außerhalb Deutschlands</w:t>
      </w:r>
      <w:r w:rsidRPr="00A87FAE">
        <w:rPr>
          <w:rFonts w:ascii="Open Sans" w:eastAsia="Calibri" w:hAnsi="Open Sans" w:cs="Open Sans"/>
          <w:kern w:val="2"/>
          <w:sz w:val="20"/>
          <w:szCs w:val="20"/>
          <w:lang w:eastAsia="en-US"/>
          <w14:ligatures w14:val="standardContextual"/>
        </w:rPr>
        <w:t xml:space="preserve"> entstanden sein oder an einer Einrichtung, die einer Institution außerhalb Deutschlands oder des deutschen Wissenschaftssystems zuzuordnen ist, muss die akademische Verortung der Einrichtung belegt werden.</w:t>
      </w:r>
    </w:p>
    <w:p w14:paraId="5D5D18DD" w14:textId="77777777" w:rsidR="00D935AA" w:rsidRPr="00A87FAE" w:rsidRDefault="00D935AA" w:rsidP="00DE098C">
      <w:pPr>
        <w:spacing w:after="160" w:line="259" w:lineRule="auto"/>
        <w:ind w:left="1080"/>
        <w:contextualSpacing/>
        <w:jc w:val="both"/>
        <w:rPr>
          <w:rFonts w:ascii="Open Sans" w:eastAsia="Calibri" w:hAnsi="Open Sans" w:cs="Open Sans"/>
          <w:kern w:val="2"/>
          <w:sz w:val="20"/>
          <w:szCs w:val="20"/>
          <w:lang w:eastAsia="en-US"/>
          <w14:ligatures w14:val="standardContextual"/>
        </w:rPr>
      </w:pPr>
    </w:p>
    <w:p w14:paraId="4612EC1F" w14:textId="77777777" w:rsidR="00D935AA" w:rsidRPr="00A87FAE" w:rsidRDefault="00D935AA" w:rsidP="00DE098C">
      <w:pPr>
        <w:numPr>
          <w:ilvl w:val="0"/>
          <w:numId w:val="3"/>
        </w:numPr>
        <w:spacing w:after="160" w:line="259" w:lineRule="auto"/>
        <w:contextualSpacing/>
        <w:jc w:val="both"/>
        <w:rPr>
          <w:rFonts w:ascii="Open Sans" w:eastAsia="Calibri" w:hAnsi="Open Sans" w:cs="Open Sans"/>
          <w:kern w:val="2"/>
          <w:sz w:val="20"/>
          <w:szCs w:val="20"/>
          <w:lang w:eastAsia="en-US"/>
          <w14:ligatures w14:val="standardContextual"/>
        </w:rPr>
      </w:pPr>
      <w:r w:rsidRPr="00A87FAE">
        <w:rPr>
          <w:rFonts w:ascii="Open Sans" w:eastAsia="Calibri" w:hAnsi="Open Sans" w:cs="Open Sans"/>
          <w:kern w:val="2"/>
          <w:sz w:val="20"/>
          <w:szCs w:val="20"/>
          <w:lang w:eastAsia="en-US"/>
          <w14:ligatures w14:val="standardContextual"/>
        </w:rPr>
        <w:t xml:space="preserve">Die eingereichte Arbeit muss im Original in </w:t>
      </w:r>
      <w:r w:rsidRPr="00A87FAE">
        <w:rPr>
          <w:rFonts w:ascii="Open Sans" w:eastAsia="Calibri" w:hAnsi="Open Sans" w:cs="Open Sans"/>
          <w:b/>
          <w:bCs/>
          <w:kern w:val="2"/>
          <w:sz w:val="20"/>
          <w:szCs w:val="20"/>
          <w:lang w:eastAsia="en-US"/>
          <w14:ligatures w14:val="standardContextual"/>
        </w:rPr>
        <w:t>deutscher</w:t>
      </w:r>
      <w:r w:rsidRPr="00A87FAE">
        <w:rPr>
          <w:rFonts w:ascii="Open Sans" w:eastAsia="Calibri" w:hAnsi="Open Sans" w:cs="Open Sans"/>
          <w:kern w:val="2"/>
          <w:sz w:val="20"/>
          <w:szCs w:val="20"/>
          <w:lang w:eastAsia="en-US"/>
          <w14:ligatures w14:val="standardContextual"/>
        </w:rPr>
        <w:t xml:space="preserve"> oder </w:t>
      </w:r>
      <w:r w:rsidRPr="00A87FAE">
        <w:rPr>
          <w:rFonts w:ascii="Open Sans" w:eastAsia="Calibri" w:hAnsi="Open Sans" w:cs="Open Sans"/>
          <w:b/>
          <w:bCs/>
          <w:kern w:val="2"/>
          <w:sz w:val="20"/>
          <w:szCs w:val="20"/>
          <w:lang w:eastAsia="en-US"/>
          <w14:ligatures w14:val="standardContextual"/>
        </w:rPr>
        <w:t>englischer Sprache</w:t>
      </w:r>
      <w:r w:rsidRPr="00A87FAE">
        <w:rPr>
          <w:rFonts w:ascii="Open Sans" w:eastAsia="Calibri" w:hAnsi="Open Sans" w:cs="Open Sans"/>
          <w:kern w:val="2"/>
          <w:sz w:val="20"/>
          <w:szCs w:val="20"/>
          <w:lang w:eastAsia="en-US"/>
          <w14:ligatures w14:val="standardContextual"/>
        </w:rPr>
        <w:t xml:space="preserve"> vorgelegt worden sein.</w:t>
      </w:r>
    </w:p>
    <w:p w14:paraId="5EF93C99" w14:textId="77777777" w:rsidR="00D935AA" w:rsidRPr="00A87FAE" w:rsidRDefault="00D935AA" w:rsidP="00DE098C">
      <w:pPr>
        <w:spacing w:after="160" w:line="259" w:lineRule="auto"/>
        <w:ind w:left="1080"/>
        <w:contextualSpacing/>
        <w:jc w:val="both"/>
        <w:rPr>
          <w:rFonts w:ascii="Open Sans" w:eastAsia="Calibri" w:hAnsi="Open Sans" w:cs="Open Sans"/>
          <w:kern w:val="2"/>
          <w:sz w:val="20"/>
          <w:szCs w:val="20"/>
          <w:lang w:eastAsia="en-US"/>
          <w14:ligatures w14:val="standardContextual"/>
        </w:rPr>
      </w:pPr>
    </w:p>
    <w:p w14:paraId="0D788EED" w14:textId="77777777" w:rsidR="00DE098C" w:rsidRDefault="00D935AA" w:rsidP="00DE098C">
      <w:pPr>
        <w:numPr>
          <w:ilvl w:val="0"/>
          <w:numId w:val="3"/>
        </w:numPr>
        <w:spacing w:after="160" w:line="259" w:lineRule="auto"/>
        <w:contextualSpacing/>
        <w:jc w:val="both"/>
        <w:rPr>
          <w:rFonts w:ascii="Open Sans" w:eastAsia="Calibri" w:hAnsi="Open Sans" w:cs="Open Sans"/>
          <w:kern w:val="2"/>
          <w:sz w:val="20"/>
          <w:szCs w:val="20"/>
          <w:lang w:eastAsia="en-US"/>
          <w14:ligatures w14:val="standardContextual"/>
        </w:rPr>
      </w:pPr>
      <w:r w:rsidRPr="00A87FAE">
        <w:rPr>
          <w:rFonts w:ascii="Open Sans" w:eastAsia="Calibri" w:hAnsi="Open Sans" w:cs="Open Sans"/>
          <w:kern w:val="2"/>
          <w:sz w:val="20"/>
          <w:szCs w:val="20"/>
          <w:lang w:eastAsia="en-US"/>
          <w14:ligatures w14:val="standardContextual"/>
        </w:rPr>
        <w:t xml:space="preserve">Die Arbeit muss im Rahmen der jeweils geltenden Prüfungsordnung im Durchschnitt mit </w:t>
      </w:r>
      <w:r w:rsidRPr="00A87FAE">
        <w:rPr>
          <w:rFonts w:ascii="Open Sans" w:eastAsia="Calibri" w:hAnsi="Open Sans" w:cs="Open Sans"/>
          <w:b/>
          <w:bCs/>
          <w:kern w:val="2"/>
          <w:sz w:val="20"/>
          <w:szCs w:val="20"/>
          <w:lang w:eastAsia="en-US"/>
          <w14:ligatures w14:val="standardContextual"/>
        </w:rPr>
        <w:t>mindestens 1,5 (sehr gut)</w:t>
      </w:r>
      <w:r w:rsidRPr="00A87FAE">
        <w:rPr>
          <w:rFonts w:ascii="Open Sans" w:eastAsia="Calibri" w:hAnsi="Open Sans" w:cs="Open Sans"/>
          <w:kern w:val="2"/>
          <w:sz w:val="20"/>
          <w:szCs w:val="20"/>
          <w:lang w:eastAsia="en-US"/>
          <w14:ligatures w14:val="standardContextual"/>
        </w:rPr>
        <w:t xml:space="preserve">; im Falle einer Promotion im Schnitt </w:t>
      </w:r>
      <w:r w:rsidRPr="00A87FAE">
        <w:rPr>
          <w:rFonts w:ascii="Open Sans" w:eastAsia="Calibri" w:hAnsi="Open Sans" w:cs="Open Sans"/>
          <w:b/>
          <w:bCs/>
          <w:kern w:val="2"/>
          <w:sz w:val="20"/>
          <w:szCs w:val="20"/>
          <w:lang w:eastAsia="en-US"/>
          <w14:ligatures w14:val="standardContextual"/>
        </w:rPr>
        <w:t>mindestens mit „magna cum laude“</w:t>
      </w:r>
      <w:r w:rsidRPr="00A87FAE">
        <w:rPr>
          <w:rFonts w:ascii="Open Sans" w:eastAsia="Calibri" w:hAnsi="Open Sans" w:cs="Open Sans"/>
          <w:kern w:val="2"/>
          <w:sz w:val="20"/>
          <w:szCs w:val="20"/>
          <w:lang w:eastAsia="en-US"/>
          <w14:ligatures w14:val="standardContextual"/>
        </w:rPr>
        <w:t xml:space="preserve"> bewertet worden sein. Sollte die Arbeit außerhalb einer Prüfungs- oder Promotionsordnung entstanden sein, muss die Exzellenz separat (beispielsweise durch entsprechende Gutachten/Peer Reviews oder renommierte Publikationen) belegt werden.  </w:t>
      </w:r>
    </w:p>
    <w:p w14:paraId="1A96A389" w14:textId="2F7514BE" w:rsidR="00D935AA" w:rsidRPr="00DE098C" w:rsidRDefault="00D935AA" w:rsidP="00DE098C">
      <w:pPr>
        <w:spacing w:after="160" w:line="259" w:lineRule="auto"/>
        <w:contextualSpacing/>
        <w:jc w:val="both"/>
        <w:rPr>
          <w:rFonts w:ascii="Open Sans" w:eastAsia="Calibri" w:hAnsi="Open Sans" w:cs="Open Sans"/>
          <w:kern w:val="2"/>
          <w:sz w:val="20"/>
          <w:szCs w:val="20"/>
          <w:lang w:eastAsia="en-US"/>
          <w14:ligatures w14:val="standardContextual"/>
        </w:rPr>
      </w:pPr>
    </w:p>
    <w:p w14:paraId="200C6C1A" w14:textId="77777777" w:rsidR="00D935AA" w:rsidRPr="00A87FAE" w:rsidRDefault="00D935AA" w:rsidP="00DE098C">
      <w:pPr>
        <w:numPr>
          <w:ilvl w:val="0"/>
          <w:numId w:val="3"/>
        </w:numPr>
        <w:spacing w:after="160" w:line="259" w:lineRule="auto"/>
        <w:contextualSpacing/>
        <w:jc w:val="both"/>
        <w:rPr>
          <w:rFonts w:ascii="Open Sans" w:eastAsia="Calibri" w:hAnsi="Open Sans" w:cs="Open Sans"/>
          <w:kern w:val="2"/>
          <w:sz w:val="20"/>
          <w:szCs w:val="20"/>
          <w:lang w:eastAsia="en-US"/>
          <w14:ligatures w14:val="standardContextual"/>
        </w:rPr>
      </w:pPr>
      <w:r w:rsidRPr="00A87FAE">
        <w:rPr>
          <w:rFonts w:ascii="Open Sans" w:eastAsia="Calibri" w:hAnsi="Open Sans" w:cs="Open Sans"/>
          <w:kern w:val="2"/>
          <w:sz w:val="20"/>
          <w:szCs w:val="20"/>
          <w:lang w:eastAsia="en-US"/>
          <w14:ligatures w14:val="standardContextual"/>
        </w:rPr>
        <w:lastRenderedPageBreak/>
        <w:t xml:space="preserve">Die einzureichende Arbeit darf </w:t>
      </w:r>
      <w:r w:rsidRPr="00A87FAE">
        <w:rPr>
          <w:rFonts w:ascii="Open Sans" w:eastAsia="Calibri" w:hAnsi="Open Sans" w:cs="Open Sans"/>
          <w:b/>
          <w:bCs/>
          <w:kern w:val="2"/>
          <w:sz w:val="20"/>
          <w:szCs w:val="20"/>
          <w:lang w:eastAsia="en-US"/>
          <w14:ligatures w14:val="standardContextual"/>
        </w:rPr>
        <w:t>nicht älter als 24 Monate</w:t>
      </w:r>
      <w:r w:rsidRPr="00A87FAE">
        <w:rPr>
          <w:rFonts w:ascii="Open Sans" w:eastAsia="Calibri" w:hAnsi="Open Sans" w:cs="Open Sans"/>
          <w:kern w:val="2"/>
          <w:sz w:val="20"/>
          <w:szCs w:val="20"/>
          <w:lang w:eastAsia="en-US"/>
          <w14:ligatures w14:val="standardContextual"/>
        </w:rPr>
        <w:t xml:space="preserve"> sein. Bemessungsgrundlage sind der finale Bewertungszeitpunkt der Arbeit nach jeweils gültiger Prüfungs- oder Promotionsordnung; hilfsweise ein belegtes Publikationsdatum sowie das Eingangsdatum der Bewerbung für den Forschungspreis in der Geschäftsstelle der ForveG. </w:t>
      </w:r>
      <w:r w:rsidRPr="00A87FAE">
        <w:rPr>
          <w:rFonts w:ascii="Open Sans" w:eastAsia="Calibri" w:hAnsi="Open Sans" w:cs="Open Sans"/>
          <w:kern w:val="2"/>
          <w:sz w:val="20"/>
          <w:szCs w:val="20"/>
          <w:lang w:eastAsia="en-US"/>
          <w14:ligatures w14:val="standardContextual"/>
        </w:rPr>
        <w:br/>
      </w:r>
    </w:p>
    <w:p w14:paraId="179BF72B" w14:textId="4D4F34FF" w:rsidR="00D935AA" w:rsidRPr="00A87FAE" w:rsidRDefault="00D935AA" w:rsidP="00DE098C">
      <w:pPr>
        <w:numPr>
          <w:ilvl w:val="0"/>
          <w:numId w:val="3"/>
        </w:numPr>
        <w:spacing w:after="160" w:line="259" w:lineRule="auto"/>
        <w:contextualSpacing/>
        <w:jc w:val="both"/>
        <w:rPr>
          <w:rFonts w:ascii="Open Sans" w:eastAsia="Calibri" w:hAnsi="Open Sans" w:cs="Open Sans"/>
          <w:kern w:val="2"/>
          <w:sz w:val="20"/>
          <w:szCs w:val="20"/>
          <w:lang w:eastAsia="en-US"/>
          <w14:ligatures w14:val="standardContextual"/>
        </w:rPr>
      </w:pPr>
      <w:r w:rsidRPr="00A87FAE">
        <w:rPr>
          <w:rFonts w:ascii="Open Sans" w:eastAsia="Calibri" w:hAnsi="Open Sans" w:cs="Open Sans"/>
          <w:kern w:val="2"/>
          <w:sz w:val="20"/>
          <w:szCs w:val="20"/>
          <w:lang w:eastAsia="en-US"/>
          <w14:ligatures w14:val="standardContextual"/>
        </w:rPr>
        <w:t xml:space="preserve">Es sind ausdrücklich </w:t>
      </w:r>
      <w:r w:rsidRPr="00A87FAE">
        <w:rPr>
          <w:rFonts w:ascii="Open Sans" w:eastAsia="Calibri" w:hAnsi="Open Sans" w:cs="Open Sans"/>
          <w:b/>
          <w:bCs/>
          <w:kern w:val="2"/>
          <w:sz w:val="20"/>
          <w:szCs w:val="20"/>
          <w:lang w:eastAsia="en-US"/>
          <w14:ligatures w14:val="standardContextual"/>
        </w:rPr>
        <w:t>nur natürlich Personen</w:t>
      </w:r>
      <w:r w:rsidRPr="00A87FAE">
        <w:rPr>
          <w:rFonts w:ascii="Open Sans" w:eastAsia="Calibri" w:hAnsi="Open Sans" w:cs="Open Sans"/>
          <w:kern w:val="2"/>
          <w:sz w:val="20"/>
          <w:szCs w:val="20"/>
          <w:lang w:eastAsia="en-US"/>
          <w14:ligatures w14:val="standardContextual"/>
        </w:rPr>
        <w:t xml:space="preserve"> eingeladen, sich für den Forschungspreis zu bewerben. Im Falle von geteilter Autorenschaft sind Bewerbungen von bis zu drei Personen pro Einreichung ausdrücklich möglich. Für den Fall, dass eine Arbeit mit mehreren Autoren oder Autorinnen den Forschungspreis erhalten sollte, wird das Preisgeld durch die Anzahl der Autoren oder Autorinnen geteilt und separat vergeben. Voraussetzung dafür ist, dass </w:t>
      </w:r>
      <w:r w:rsidRPr="00A87FAE">
        <w:rPr>
          <w:rFonts w:ascii="Open Sans" w:eastAsia="Calibri" w:hAnsi="Open Sans" w:cs="Open Sans"/>
          <w:b/>
          <w:bCs/>
          <w:kern w:val="2"/>
          <w:sz w:val="20"/>
          <w:szCs w:val="20"/>
          <w:lang w:eastAsia="en-US"/>
          <w14:ligatures w14:val="standardContextual"/>
        </w:rPr>
        <w:t>alle</w:t>
      </w:r>
      <w:r w:rsidRPr="00A87FAE">
        <w:rPr>
          <w:rFonts w:ascii="Open Sans" w:eastAsia="Calibri" w:hAnsi="Open Sans" w:cs="Open Sans"/>
          <w:kern w:val="2"/>
          <w:sz w:val="20"/>
          <w:szCs w:val="20"/>
          <w:lang w:eastAsia="en-US"/>
          <w14:ligatures w14:val="standardContextual"/>
        </w:rPr>
        <w:t xml:space="preserve"> Autorinnen und Autorinnen die sonstigen unter 3. aufgeführten Anforderungen erfüllen. Bewerbungen von nicht-natürlichen Personen werden nicht berücksichtigt.  </w:t>
      </w:r>
    </w:p>
    <w:p w14:paraId="5565D84E" w14:textId="77777777" w:rsidR="00D935AA" w:rsidRPr="00A87FAE" w:rsidRDefault="00D935AA" w:rsidP="00DE098C">
      <w:pPr>
        <w:spacing w:after="160" w:line="259" w:lineRule="auto"/>
        <w:jc w:val="both"/>
        <w:rPr>
          <w:rFonts w:ascii="Open Sans" w:eastAsia="Calibri" w:hAnsi="Open Sans" w:cs="Open Sans"/>
          <w:kern w:val="2"/>
          <w:sz w:val="20"/>
          <w:szCs w:val="20"/>
          <w:lang w:eastAsia="en-US"/>
          <w14:ligatures w14:val="standardContextual"/>
        </w:rPr>
      </w:pPr>
    </w:p>
    <w:p w14:paraId="3F27FE34" w14:textId="77777777" w:rsidR="00D935AA" w:rsidRPr="00A87FAE" w:rsidRDefault="00D935AA" w:rsidP="00DE098C">
      <w:pPr>
        <w:numPr>
          <w:ilvl w:val="0"/>
          <w:numId w:val="1"/>
        </w:numPr>
        <w:spacing w:after="160" w:line="259" w:lineRule="auto"/>
        <w:contextualSpacing/>
        <w:jc w:val="both"/>
        <w:rPr>
          <w:rFonts w:ascii="Open Sans" w:eastAsia="Calibri" w:hAnsi="Open Sans" w:cs="Open Sans"/>
          <w:b/>
          <w:bCs/>
          <w:kern w:val="2"/>
          <w:sz w:val="20"/>
          <w:szCs w:val="20"/>
          <w:lang w:eastAsia="en-US"/>
          <w14:ligatures w14:val="standardContextual"/>
        </w:rPr>
      </w:pPr>
      <w:r w:rsidRPr="00A87FAE">
        <w:rPr>
          <w:rFonts w:ascii="Open Sans" w:eastAsia="Calibri" w:hAnsi="Open Sans" w:cs="Open Sans"/>
          <w:b/>
          <w:bCs/>
          <w:kern w:val="2"/>
          <w:sz w:val="20"/>
          <w:szCs w:val="20"/>
          <w:lang w:eastAsia="en-US"/>
          <w14:ligatures w14:val="standardContextual"/>
        </w:rPr>
        <w:t>Bewerbungsprozess</w:t>
      </w:r>
    </w:p>
    <w:p w14:paraId="7C4FF0DF" w14:textId="20294761" w:rsidR="00D935AA" w:rsidRPr="00A87FAE" w:rsidRDefault="00D935AA" w:rsidP="00DE098C">
      <w:pPr>
        <w:spacing w:after="160" w:line="259" w:lineRule="auto"/>
        <w:jc w:val="both"/>
        <w:rPr>
          <w:rFonts w:ascii="Open Sans" w:eastAsia="Calibri" w:hAnsi="Open Sans" w:cs="Open Sans"/>
          <w:kern w:val="2"/>
          <w:sz w:val="20"/>
          <w:szCs w:val="20"/>
          <w:lang w:eastAsia="en-US"/>
          <w14:ligatures w14:val="standardContextual"/>
        </w:rPr>
      </w:pPr>
      <w:r w:rsidRPr="00A87FAE">
        <w:rPr>
          <w:rFonts w:ascii="Open Sans" w:eastAsia="Calibri" w:hAnsi="Open Sans" w:cs="Open Sans"/>
          <w:kern w:val="2"/>
          <w:sz w:val="20"/>
          <w:szCs w:val="20"/>
          <w:lang w:eastAsia="en-US"/>
          <w14:ligatures w14:val="standardContextual"/>
        </w:rPr>
        <w:t>Alle Bewerberinnen und Bewerber sind eingeladen</w:t>
      </w:r>
      <w:r w:rsidR="00A87FAE">
        <w:rPr>
          <w:rFonts w:ascii="Open Sans" w:eastAsia="Calibri" w:hAnsi="Open Sans" w:cs="Open Sans"/>
          <w:kern w:val="2"/>
          <w:sz w:val="20"/>
          <w:szCs w:val="20"/>
          <w:lang w:eastAsia="en-US"/>
          <w14:ligatures w14:val="standardContextual"/>
        </w:rPr>
        <w:t>,</w:t>
      </w:r>
      <w:r w:rsidRPr="00A87FAE">
        <w:rPr>
          <w:rFonts w:ascii="Open Sans" w:eastAsia="Calibri" w:hAnsi="Open Sans" w:cs="Open Sans"/>
          <w:kern w:val="2"/>
          <w:sz w:val="20"/>
          <w:szCs w:val="20"/>
          <w:lang w:eastAsia="en-US"/>
          <w14:ligatures w14:val="standardContextual"/>
        </w:rPr>
        <w:t xml:space="preserve"> ihre Einreichung bis zu einer Deadline zu tätigen, welche die ForveG zu gegebener Zeit auf ihrer Website und über weitere Kanäle bekanntgeben wird.</w:t>
      </w:r>
    </w:p>
    <w:p w14:paraId="21D88F01" w14:textId="77777777" w:rsidR="00D935AA" w:rsidRPr="00A87FAE" w:rsidRDefault="00D935AA" w:rsidP="00DE098C">
      <w:pPr>
        <w:spacing w:after="160" w:line="259" w:lineRule="auto"/>
        <w:jc w:val="both"/>
        <w:rPr>
          <w:rFonts w:ascii="Open Sans" w:eastAsia="Calibri" w:hAnsi="Open Sans" w:cs="Open Sans"/>
          <w:kern w:val="2"/>
          <w:sz w:val="20"/>
          <w:szCs w:val="20"/>
          <w:lang w:eastAsia="en-US"/>
          <w14:ligatures w14:val="standardContextual"/>
        </w:rPr>
      </w:pPr>
      <w:r w:rsidRPr="00A87FAE">
        <w:rPr>
          <w:rFonts w:ascii="Open Sans" w:eastAsia="Calibri" w:hAnsi="Open Sans" w:cs="Open Sans"/>
          <w:kern w:val="2"/>
          <w:sz w:val="20"/>
          <w:szCs w:val="20"/>
          <w:lang w:eastAsia="en-US"/>
          <w14:ligatures w14:val="standardContextual"/>
        </w:rPr>
        <w:t xml:space="preserve">Die Bewerberinnen und Bewerber werden gebeten folgende </w:t>
      </w:r>
      <w:r w:rsidRPr="00A87FAE">
        <w:rPr>
          <w:rFonts w:ascii="Open Sans" w:eastAsia="Calibri" w:hAnsi="Open Sans" w:cs="Open Sans"/>
          <w:b/>
          <w:bCs/>
          <w:kern w:val="2"/>
          <w:sz w:val="20"/>
          <w:szCs w:val="20"/>
          <w:lang w:eastAsia="en-US"/>
          <w14:ligatures w14:val="standardContextual"/>
        </w:rPr>
        <w:t>Unterlagen</w:t>
      </w:r>
      <w:r w:rsidRPr="00A87FAE">
        <w:rPr>
          <w:rFonts w:ascii="Open Sans" w:eastAsia="Calibri" w:hAnsi="Open Sans" w:cs="Open Sans"/>
          <w:kern w:val="2"/>
          <w:sz w:val="20"/>
          <w:szCs w:val="20"/>
          <w:lang w:eastAsia="en-US"/>
          <w14:ligatures w14:val="standardContextual"/>
        </w:rPr>
        <w:t xml:space="preserve"> per Mail einzureichen. </w:t>
      </w:r>
    </w:p>
    <w:p w14:paraId="41C50390" w14:textId="77777777" w:rsidR="0044195E" w:rsidRPr="00A87FAE" w:rsidRDefault="00D935AA" w:rsidP="00DE098C">
      <w:pPr>
        <w:numPr>
          <w:ilvl w:val="0"/>
          <w:numId w:val="4"/>
        </w:numPr>
        <w:spacing w:after="160" w:line="259" w:lineRule="auto"/>
        <w:contextualSpacing/>
        <w:jc w:val="both"/>
        <w:rPr>
          <w:rFonts w:ascii="Open Sans" w:eastAsia="Calibri" w:hAnsi="Open Sans" w:cs="Open Sans"/>
          <w:kern w:val="2"/>
          <w:sz w:val="20"/>
          <w:szCs w:val="20"/>
          <w:lang w:eastAsia="en-US"/>
          <w14:ligatures w14:val="standardContextual"/>
        </w:rPr>
      </w:pPr>
      <w:r w:rsidRPr="00A87FAE">
        <w:rPr>
          <w:rFonts w:ascii="Open Sans" w:eastAsia="Calibri" w:hAnsi="Open Sans" w:cs="Open Sans"/>
          <w:kern w:val="2"/>
          <w:sz w:val="20"/>
          <w:szCs w:val="20"/>
          <w:lang w:eastAsia="en-US"/>
          <w14:ligatures w14:val="standardContextual"/>
        </w:rPr>
        <w:t xml:space="preserve">Ein </w:t>
      </w:r>
      <w:r w:rsidRPr="00A87FAE">
        <w:rPr>
          <w:rFonts w:ascii="Open Sans" w:eastAsia="Calibri" w:hAnsi="Open Sans" w:cs="Open Sans"/>
          <w:b/>
          <w:bCs/>
          <w:kern w:val="2"/>
          <w:sz w:val="20"/>
          <w:szCs w:val="20"/>
          <w:lang w:eastAsia="en-US"/>
          <w14:ligatures w14:val="standardContextual"/>
        </w:rPr>
        <w:t>Original der einzureichenden Arbeit</w:t>
      </w:r>
      <w:r w:rsidRPr="00A87FAE">
        <w:rPr>
          <w:rFonts w:ascii="Open Sans" w:eastAsia="Calibri" w:hAnsi="Open Sans" w:cs="Open Sans"/>
          <w:kern w:val="2"/>
          <w:sz w:val="20"/>
          <w:szCs w:val="20"/>
          <w:lang w:eastAsia="en-US"/>
          <w14:ligatures w14:val="standardContextual"/>
        </w:rPr>
        <w:t xml:space="preserve"> im </w:t>
      </w:r>
      <w:proofErr w:type="spellStart"/>
      <w:r w:rsidRPr="00A87FAE">
        <w:rPr>
          <w:rFonts w:ascii="Open Sans" w:eastAsia="Calibri" w:hAnsi="Open Sans" w:cs="Open Sans"/>
          <w:kern w:val="2"/>
          <w:sz w:val="20"/>
          <w:szCs w:val="20"/>
          <w:lang w:eastAsia="en-US"/>
          <w14:ligatures w14:val="standardContextual"/>
        </w:rPr>
        <w:t>pdf-Format</w:t>
      </w:r>
      <w:proofErr w:type="spellEnd"/>
      <w:r w:rsidRPr="00A87FAE">
        <w:rPr>
          <w:rFonts w:ascii="Open Sans" w:eastAsia="Calibri" w:hAnsi="Open Sans" w:cs="Open Sans"/>
          <w:kern w:val="2"/>
          <w:sz w:val="20"/>
          <w:szCs w:val="20"/>
          <w:lang w:eastAsia="en-US"/>
          <w14:ligatures w14:val="standardContextual"/>
        </w:rPr>
        <w:t>. Sollten weitere Materialen (wie Bild-, Audio-, Video- oder sonstige Anlagen zu Belegzwecken nötig oder inhärenter Teil der Arbeit sein, sollten diese mittels entsprechender URL zu einer entsprechenden Cloud zugänglich gemacht werden.</w:t>
      </w:r>
    </w:p>
    <w:p w14:paraId="0BF2D3BC" w14:textId="667E7E75" w:rsidR="00D935AA" w:rsidRPr="00A87FAE" w:rsidRDefault="00D935AA" w:rsidP="00DE098C">
      <w:pPr>
        <w:spacing w:after="160" w:line="259" w:lineRule="auto"/>
        <w:ind w:left="1080"/>
        <w:contextualSpacing/>
        <w:jc w:val="both"/>
        <w:rPr>
          <w:rFonts w:ascii="Open Sans" w:eastAsia="Calibri" w:hAnsi="Open Sans" w:cs="Open Sans"/>
          <w:kern w:val="2"/>
          <w:sz w:val="20"/>
          <w:szCs w:val="20"/>
          <w:lang w:eastAsia="en-US"/>
          <w14:ligatures w14:val="standardContextual"/>
        </w:rPr>
      </w:pPr>
      <w:r w:rsidRPr="00A87FAE">
        <w:rPr>
          <w:rFonts w:ascii="Open Sans" w:eastAsia="Calibri" w:hAnsi="Open Sans" w:cs="Open Sans"/>
          <w:kern w:val="2"/>
          <w:sz w:val="20"/>
          <w:szCs w:val="20"/>
          <w:lang w:eastAsia="en-US"/>
          <w14:ligatures w14:val="standardContextual"/>
        </w:rPr>
        <w:t xml:space="preserve">   </w:t>
      </w:r>
    </w:p>
    <w:p w14:paraId="198C4B5C" w14:textId="3E28A4C9" w:rsidR="00D935AA" w:rsidRPr="00A87FAE" w:rsidRDefault="00D935AA" w:rsidP="00DE098C">
      <w:pPr>
        <w:numPr>
          <w:ilvl w:val="0"/>
          <w:numId w:val="4"/>
        </w:numPr>
        <w:spacing w:after="160" w:line="259" w:lineRule="auto"/>
        <w:contextualSpacing/>
        <w:jc w:val="both"/>
        <w:rPr>
          <w:rFonts w:ascii="Open Sans" w:eastAsia="Calibri" w:hAnsi="Open Sans" w:cs="Open Sans"/>
          <w:kern w:val="2"/>
          <w:sz w:val="20"/>
          <w:szCs w:val="20"/>
          <w:lang w:eastAsia="en-US"/>
          <w14:ligatures w14:val="standardContextual"/>
        </w:rPr>
      </w:pPr>
      <w:r w:rsidRPr="00A87FAE">
        <w:rPr>
          <w:rFonts w:ascii="Open Sans" w:eastAsia="Calibri" w:hAnsi="Open Sans" w:cs="Open Sans"/>
          <w:kern w:val="2"/>
          <w:sz w:val="20"/>
          <w:szCs w:val="20"/>
          <w:lang w:eastAsia="en-US"/>
          <w14:ligatures w14:val="standardContextual"/>
        </w:rPr>
        <w:t xml:space="preserve">Ein </w:t>
      </w:r>
      <w:r w:rsidRPr="00A87FAE">
        <w:rPr>
          <w:rFonts w:ascii="Open Sans" w:eastAsia="Calibri" w:hAnsi="Open Sans" w:cs="Open Sans"/>
          <w:b/>
          <w:bCs/>
          <w:kern w:val="2"/>
          <w:sz w:val="20"/>
          <w:szCs w:val="20"/>
          <w:lang w:eastAsia="en-US"/>
          <w14:ligatures w14:val="standardContextual"/>
        </w:rPr>
        <w:t>Abstract</w:t>
      </w:r>
      <w:r w:rsidRPr="00A87FAE">
        <w:rPr>
          <w:rFonts w:ascii="Open Sans" w:eastAsia="Calibri" w:hAnsi="Open Sans" w:cs="Open Sans"/>
          <w:kern w:val="2"/>
          <w:sz w:val="20"/>
          <w:szCs w:val="20"/>
          <w:lang w:eastAsia="en-US"/>
          <w14:ligatures w14:val="standardContextual"/>
        </w:rPr>
        <w:t xml:space="preserve"> der eingereichten Arbeit im PDF-Format mit maximal </w:t>
      </w:r>
      <w:r w:rsidR="00F10DAB">
        <w:rPr>
          <w:rFonts w:ascii="Open Sans" w:eastAsia="Calibri" w:hAnsi="Open Sans" w:cs="Open Sans"/>
          <w:kern w:val="2"/>
          <w:sz w:val="20"/>
          <w:szCs w:val="20"/>
          <w:lang w:eastAsia="en-US"/>
          <w14:ligatures w14:val="standardContextual"/>
        </w:rPr>
        <w:t>12</w:t>
      </w:r>
      <w:r w:rsidRPr="00A87FAE">
        <w:rPr>
          <w:rFonts w:ascii="Open Sans" w:eastAsia="Calibri" w:hAnsi="Open Sans" w:cs="Open Sans"/>
          <w:kern w:val="2"/>
          <w:sz w:val="20"/>
          <w:szCs w:val="20"/>
          <w:lang w:eastAsia="en-US"/>
          <w14:ligatures w14:val="standardContextual"/>
        </w:rPr>
        <w:t xml:space="preserve">.000 Zeichen (inklusive Leerzeichen und Fußnoten) in </w:t>
      </w:r>
      <w:r w:rsidRPr="00A87FAE">
        <w:rPr>
          <w:rFonts w:ascii="Open Sans" w:eastAsia="Calibri" w:hAnsi="Open Sans" w:cs="Open Sans"/>
          <w:b/>
          <w:bCs/>
          <w:kern w:val="2"/>
          <w:sz w:val="20"/>
          <w:szCs w:val="20"/>
          <w:lang w:eastAsia="en-US"/>
          <w14:ligatures w14:val="standardContextual"/>
        </w:rPr>
        <w:t>deutscher</w:t>
      </w:r>
      <w:r w:rsidRPr="00A87FAE">
        <w:rPr>
          <w:rFonts w:ascii="Open Sans" w:eastAsia="Calibri" w:hAnsi="Open Sans" w:cs="Open Sans"/>
          <w:kern w:val="2"/>
          <w:sz w:val="20"/>
          <w:szCs w:val="20"/>
          <w:lang w:eastAsia="en-US"/>
          <w14:ligatures w14:val="standardContextual"/>
        </w:rPr>
        <w:t xml:space="preserve"> oder </w:t>
      </w:r>
      <w:r w:rsidRPr="00A87FAE">
        <w:rPr>
          <w:rFonts w:ascii="Open Sans" w:eastAsia="Calibri" w:hAnsi="Open Sans" w:cs="Open Sans"/>
          <w:b/>
          <w:bCs/>
          <w:kern w:val="2"/>
          <w:sz w:val="20"/>
          <w:szCs w:val="20"/>
          <w:lang w:eastAsia="en-US"/>
          <w14:ligatures w14:val="standardContextual"/>
        </w:rPr>
        <w:t>englischer Sprache</w:t>
      </w:r>
      <w:r w:rsidRPr="00A87FAE">
        <w:rPr>
          <w:rFonts w:ascii="Open Sans" w:eastAsia="Calibri" w:hAnsi="Open Sans" w:cs="Open Sans"/>
          <w:kern w:val="2"/>
          <w:sz w:val="20"/>
          <w:szCs w:val="20"/>
          <w:lang w:eastAsia="en-US"/>
          <w14:ligatures w14:val="standardContextual"/>
        </w:rPr>
        <w:t xml:space="preserve">, das Fragestellung, Ausgangslage, Forschungsstand, Methode, Analyse, Ergebnisse und insbesondere deren </w:t>
      </w:r>
      <w:r w:rsidRPr="00A87FAE">
        <w:rPr>
          <w:rFonts w:ascii="Open Sans" w:eastAsia="Calibri" w:hAnsi="Open Sans" w:cs="Open Sans"/>
          <w:b/>
          <w:bCs/>
          <w:kern w:val="2"/>
          <w:sz w:val="20"/>
          <w:szCs w:val="20"/>
          <w:lang w:eastAsia="en-US"/>
          <w14:ligatures w14:val="standardContextual"/>
        </w:rPr>
        <w:t>Relevanz für den Großhandel</w:t>
      </w:r>
      <w:r w:rsidRPr="00A87FAE">
        <w:rPr>
          <w:rFonts w:ascii="Open Sans" w:eastAsia="Calibri" w:hAnsi="Open Sans" w:cs="Open Sans"/>
          <w:kern w:val="2"/>
          <w:sz w:val="20"/>
          <w:szCs w:val="20"/>
          <w:lang w:eastAsia="en-US"/>
          <w14:ligatures w14:val="standardContextual"/>
        </w:rPr>
        <w:t xml:space="preserve"> umfasst. Für den Fall, dass sich die Arbeit nicht den unter 3.</w:t>
      </w:r>
      <w:r w:rsidR="00A87FAE">
        <w:rPr>
          <w:rFonts w:ascii="Open Sans" w:eastAsia="Calibri" w:hAnsi="Open Sans" w:cs="Open Sans"/>
          <w:kern w:val="2"/>
          <w:sz w:val="20"/>
          <w:szCs w:val="20"/>
          <w:lang w:eastAsia="en-US"/>
          <w14:ligatures w14:val="standardContextual"/>
        </w:rPr>
        <w:t xml:space="preserve"> </w:t>
      </w:r>
      <w:r w:rsidRPr="00A87FAE">
        <w:rPr>
          <w:rFonts w:ascii="Open Sans" w:eastAsia="Calibri" w:hAnsi="Open Sans" w:cs="Open Sans"/>
          <w:kern w:val="2"/>
          <w:sz w:val="20"/>
          <w:szCs w:val="20"/>
          <w:lang w:eastAsia="en-US"/>
          <w14:ligatures w14:val="standardContextual"/>
        </w:rPr>
        <w:t xml:space="preserve">I. aufgelisteten Feldern zuordnen lässt, ist die entsprechende Begründung Teil des Abstracts. Eine kritische Einordnung der Ergebnisse ist zudem wünschenswert. Das Abstract ist der Ausgangspunkt der Bewertung durch das Gremium der Gutachterinnen und Gutachter und kann Belege enthalten, die auf die entsprechenden Passagen in der Arbeit verweisen. Bildmaterialien und Grafiken sind als Teil des Textes möglich. Literatur- und Quellennachweise sind im Anhang bitte separat aufzulisten und werden nicht zur Zeichenbegrenzung gezählt. Von weiteren Anhängen bitten wir für das Abstract abzusehen. Die Zeichenlimitierung umfasst auch Fußnoten, für die um einen </w:t>
      </w:r>
      <w:r w:rsidR="00DE098C">
        <w:rPr>
          <w:rFonts w:ascii="Open Sans" w:eastAsia="Calibri" w:hAnsi="Open Sans" w:cs="Open Sans"/>
          <w:kern w:val="2"/>
          <w:sz w:val="20"/>
          <w:szCs w:val="20"/>
          <w:lang w:eastAsia="en-US"/>
          <w14:ligatures w14:val="standardContextual"/>
        </w:rPr>
        <w:br/>
      </w:r>
      <w:r w:rsidR="00DE098C">
        <w:rPr>
          <w:rFonts w:ascii="Open Sans" w:eastAsia="Calibri" w:hAnsi="Open Sans" w:cs="Open Sans"/>
          <w:kern w:val="2"/>
          <w:sz w:val="20"/>
          <w:szCs w:val="20"/>
          <w:lang w:eastAsia="en-US"/>
          <w14:ligatures w14:val="standardContextual"/>
        </w:rPr>
        <w:br/>
      </w:r>
      <w:r w:rsidR="00DE098C">
        <w:rPr>
          <w:rFonts w:ascii="Open Sans" w:eastAsia="Calibri" w:hAnsi="Open Sans" w:cs="Open Sans"/>
          <w:kern w:val="2"/>
          <w:sz w:val="20"/>
          <w:szCs w:val="20"/>
          <w:lang w:eastAsia="en-US"/>
          <w14:ligatures w14:val="standardContextual"/>
        </w:rPr>
        <w:br/>
      </w:r>
      <w:r w:rsidRPr="00A87FAE">
        <w:rPr>
          <w:rFonts w:ascii="Open Sans" w:eastAsia="Calibri" w:hAnsi="Open Sans" w:cs="Open Sans"/>
          <w:kern w:val="2"/>
          <w:sz w:val="20"/>
          <w:szCs w:val="20"/>
          <w:lang w:eastAsia="en-US"/>
          <w14:ligatures w14:val="standardContextual"/>
        </w:rPr>
        <w:lastRenderedPageBreak/>
        <w:t xml:space="preserve">sparsamen Einsatz gebeten wird. Für das Abstract kann die Vorlage genutzt werden, </w:t>
      </w:r>
      <w:r w:rsidR="00DE098C">
        <w:rPr>
          <w:rFonts w:ascii="Open Sans" w:eastAsia="Calibri" w:hAnsi="Open Sans" w:cs="Open Sans"/>
          <w:kern w:val="2"/>
          <w:sz w:val="20"/>
          <w:szCs w:val="20"/>
          <w:lang w:eastAsia="en-US"/>
          <w14:ligatures w14:val="standardContextual"/>
        </w:rPr>
        <w:br/>
      </w:r>
      <w:r w:rsidRPr="00A87FAE">
        <w:rPr>
          <w:rFonts w:ascii="Open Sans" w:eastAsia="Calibri" w:hAnsi="Open Sans" w:cs="Open Sans"/>
          <w:kern w:val="2"/>
          <w:sz w:val="20"/>
          <w:szCs w:val="20"/>
          <w:lang w:eastAsia="en-US"/>
          <w14:ligatures w14:val="standardContextual"/>
        </w:rPr>
        <w:t>die über die Website der ForveG zur Verfügung gestellt wird.</w:t>
      </w:r>
    </w:p>
    <w:p w14:paraId="7DB199E0" w14:textId="3633B741" w:rsidR="00D935AA" w:rsidRPr="00A87FAE" w:rsidRDefault="00D935AA" w:rsidP="00DE098C">
      <w:pPr>
        <w:spacing w:after="160" w:line="259" w:lineRule="auto"/>
        <w:ind w:left="1080"/>
        <w:contextualSpacing/>
        <w:jc w:val="both"/>
        <w:rPr>
          <w:rFonts w:ascii="Open Sans" w:eastAsia="Calibri" w:hAnsi="Open Sans" w:cs="Open Sans"/>
          <w:kern w:val="2"/>
          <w:sz w:val="20"/>
          <w:szCs w:val="20"/>
          <w:lang w:eastAsia="en-US"/>
          <w14:ligatures w14:val="standardContextual"/>
        </w:rPr>
      </w:pPr>
    </w:p>
    <w:p w14:paraId="70B2F15E" w14:textId="5E11C71E" w:rsidR="00DE098C" w:rsidRDefault="00D935AA" w:rsidP="00DE098C">
      <w:pPr>
        <w:numPr>
          <w:ilvl w:val="0"/>
          <w:numId w:val="4"/>
        </w:numPr>
        <w:spacing w:after="160" w:line="259" w:lineRule="auto"/>
        <w:contextualSpacing/>
        <w:jc w:val="both"/>
        <w:rPr>
          <w:rFonts w:ascii="Open Sans" w:eastAsia="Calibri" w:hAnsi="Open Sans" w:cs="Open Sans"/>
          <w:kern w:val="2"/>
          <w:sz w:val="20"/>
          <w:szCs w:val="20"/>
          <w:lang w:eastAsia="en-US"/>
          <w14:ligatures w14:val="standardContextual"/>
        </w:rPr>
      </w:pPr>
      <w:r w:rsidRPr="00A87FAE">
        <w:rPr>
          <w:rFonts w:ascii="Open Sans" w:eastAsia="Calibri" w:hAnsi="Open Sans" w:cs="Open Sans"/>
          <w:b/>
          <w:bCs/>
          <w:kern w:val="2"/>
          <w:sz w:val="20"/>
          <w:szCs w:val="20"/>
          <w:lang w:eastAsia="en-US"/>
          <w14:ligatures w14:val="standardContextual"/>
        </w:rPr>
        <w:t xml:space="preserve">Bewertungsdokumente. </w:t>
      </w:r>
      <w:r w:rsidRPr="00A87FAE">
        <w:rPr>
          <w:rFonts w:ascii="Open Sans" w:eastAsia="Calibri" w:hAnsi="Open Sans" w:cs="Open Sans"/>
          <w:kern w:val="2"/>
          <w:sz w:val="20"/>
          <w:szCs w:val="20"/>
          <w:lang w:eastAsia="en-US"/>
          <w14:ligatures w14:val="standardContextual"/>
        </w:rPr>
        <w:t xml:space="preserve">Für Masterarbeiten (oder Äquivalente) sollte dies in der Regel das Masterzeugnis sein, das die Benotung der Arbeit enthält. Sollte das Masterzeugnis noch nicht vorliegen, können auch äquivalente Belege (z.B. der Fakultät) eingereicht werden. </w:t>
      </w:r>
    </w:p>
    <w:p w14:paraId="7B09DCF0" w14:textId="77777777" w:rsidR="00DE098C" w:rsidRPr="00DE098C" w:rsidRDefault="00DE098C" w:rsidP="00DE098C">
      <w:pPr>
        <w:rPr>
          <w:rFonts w:ascii="Open Sans" w:eastAsia="Calibri" w:hAnsi="Open Sans" w:cs="Open Sans"/>
          <w:kern w:val="2"/>
          <w:sz w:val="20"/>
          <w:szCs w:val="20"/>
          <w:lang w:eastAsia="en-US"/>
          <w14:ligatures w14:val="standardContextual"/>
        </w:rPr>
      </w:pPr>
    </w:p>
    <w:p w14:paraId="33190B1E" w14:textId="446DD9A6" w:rsidR="00D935AA" w:rsidRPr="00DE098C" w:rsidRDefault="00D935AA" w:rsidP="00DE098C">
      <w:pPr>
        <w:numPr>
          <w:ilvl w:val="0"/>
          <w:numId w:val="4"/>
        </w:numPr>
        <w:spacing w:after="160" w:line="259" w:lineRule="auto"/>
        <w:contextualSpacing/>
        <w:jc w:val="both"/>
        <w:rPr>
          <w:rFonts w:ascii="Open Sans" w:eastAsia="Calibri" w:hAnsi="Open Sans" w:cs="Open Sans"/>
          <w:kern w:val="2"/>
          <w:sz w:val="20"/>
          <w:szCs w:val="20"/>
          <w:lang w:eastAsia="en-US"/>
          <w14:ligatures w14:val="standardContextual"/>
        </w:rPr>
      </w:pPr>
      <w:r w:rsidRPr="00DE098C">
        <w:rPr>
          <w:rFonts w:ascii="Open Sans" w:eastAsia="Calibri" w:hAnsi="Open Sans" w:cs="Open Sans"/>
          <w:kern w:val="2"/>
          <w:sz w:val="20"/>
          <w:szCs w:val="20"/>
          <w:lang w:eastAsia="en-US"/>
          <w14:ligatures w14:val="standardContextual"/>
        </w:rPr>
        <w:t xml:space="preserve">Im Falle von Dissertationen (oder Äquivalenten) sollte dies die Promotionsurkunde oder ein entsprechender Beleg </w:t>
      </w:r>
      <w:r w:rsidR="0044195E" w:rsidRPr="00DE098C">
        <w:rPr>
          <w:rFonts w:ascii="Open Sans" w:eastAsia="Calibri" w:hAnsi="Open Sans" w:cs="Open Sans"/>
          <w:kern w:val="2"/>
          <w:sz w:val="20"/>
          <w:szCs w:val="20"/>
          <w:lang w:eastAsia="en-US"/>
          <w14:ligatures w14:val="standardContextual"/>
        </w:rPr>
        <w:t xml:space="preserve">zur Bewertung </w:t>
      </w:r>
      <w:r w:rsidRPr="00DE098C">
        <w:rPr>
          <w:rFonts w:ascii="Open Sans" w:eastAsia="Calibri" w:hAnsi="Open Sans" w:cs="Open Sans"/>
          <w:kern w:val="2"/>
          <w:sz w:val="20"/>
          <w:szCs w:val="20"/>
          <w:lang w:eastAsia="en-US"/>
          <w14:ligatures w14:val="standardContextual"/>
        </w:rPr>
        <w:t>aller nach der jeweiligen Promotionsordnung nötige Prüfungsleistungen sein. Auch Gutachten können sowohl für Masterarbeiten als auch Dissertationen ergänzend eingereicht werden (siehe 4. V.).</w:t>
      </w:r>
    </w:p>
    <w:p w14:paraId="51EA7AE1" w14:textId="56FEDF1A" w:rsidR="00D935AA" w:rsidRPr="00A87FAE" w:rsidRDefault="00D935AA" w:rsidP="00DE098C">
      <w:pPr>
        <w:spacing w:after="160" w:line="259" w:lineRule="auto"/>
        <w:ind w:left="1080"/>
        <w:contextualSpacing/>
        <w:jc w:val="both"/>
        <w:rPr>
          <w:rFonts w:ascii="Open Sans" w:eastAsia="Calibri" w:hAnsi="Open Sans" w:cs="Open Sans"/>
          <w:kern w:val="2"/>
          <w:sz w:val="20"/>
          <w:szCs w:val="20"/>
          <w:lang w:eastAsia="en-US"/>
          <w14:ligatures w14:val="standardContextual"/>
        </w:rPr>
      </w:pPr>
    </w:p>
    <w:p w14:paraId="15F8F678" w14:textId="77777777" w:rsidR="00D935AA" w:rsidRPr="00A87FAE" w:rsidRDefault="00D935AA" w:rsidP="00DE098C">
      <w:pPr>
        <w:numPr>
          <w:ilvl w:val="0"/>
          <w:numId w:val="4"/>
        </w:numPr>
        <w:spacing w:after="160" w:line="259" w:lineRule="auto"/>
        <w:contextualSpacing/>
        <w:jc w:val="both"/>
        <w:rPr>
          <w:rFonts w:ascii="Open Sans" w:eastAsia="Calibri" w:hAnsi="Open Sans" w:cs="Open Sans"/>
          <w:b/>
          <w:bCs/>
          <w:kern w:val="2"/>
          <w:sz w:val="20"/>
          <w:szCs w:val="20"/>
          <w:lang w:eastAsia="en-US"/>
          <w14:ligatures w14:val="standardContextual"/>
        </w:rPr>
      </w:pPr>
      <w:r w:rsidRPr="00A87FAE">
        <w:rPr>
          <w:rFonts w:ascii="Open Sans" w:eastAsia="Calibri" w:hAnsi="Open Sans" w:cs="Open Sans"/>
          <w:b/>
          <w:bCs/>
          <w:kern w:val="2"/>
          <w:sz w:val="20"/>
          <w:szCs w:val="20"/>
          <w:lang w:eastAsia="en-US"/>
          <w14:ligatures w14:val="standardContextual"/>
        </w:rPr>
        <w:t>Anonymisierter</w:t>
      </w:r>
      <w:r w:rsidRPr="00A87FAE">
        <w:rPr>
          <w:rFonts w:ascii="Open Sans" w:eastAsia="Calibri" w:hAnsi="Open Sans" w:cs="Open Sans"/>
          <w:kern w:val="2"/>
          <w:sz w:val="20"/>
          <w:szCs w:val="20"/>
          <w:lang w:eastAsia="en-US"/>
          <w14:ligatures w14:val="standardContextual"/>
        </w:rPr>
        <w:t xml:space="preserve"> </w:t>
      </w:r>
      <w:r w:rsidRPr="00A87FAE">
        <w:rPr>
          <w:rFonts w:ascii="Open Sans" w:eastAsia="Calibri" w:hAnsi="Open Sans" w:cs="Open Sans"/>
          <w:b/>
          <w:bCs/>
          <w:kern w:val="2"/>
          <w:sz w:val="20"/>
          <w:szCs w:val="20"/>
          <w:lang w:eastAsia="en-US"/>
          <w14:ligatures w14:val="standardContextual"/>
        </w:rPr>
        <w:t>Lebenslauf</w:t>
      </w:r>
      <w:r w:rsidRPr="00A87FAE">
        <w:rPr>
          <w:rFonts w:ascii="Open Sans" w:eastAsia="Calibri" w:hAnsi="Open Sans" w:cs="Open Sans"/>
          <w:kern w:val="2"/>
          <w:sz w:val="20"/>
          <w:szCs w:val="20"/>
          <w:lang w:eastAsia="en-US"/>
          <w14:ligatures w14:val="standardContextual"/>
        </w:rPr>
        <w:t xml:space="preserve">, der sowohl akademische wie berufliche Erfahrung enthalt, sowie sonstige Qualifikationen und Engagements. </w:t>
      </w:r>
    </w:p>
    <w:p w14:paraId="5A950687" w14:textId="1A4F0856" w:rsidR="00D935AA" w:rsidRPr="00A87FAE" w:rsidRDefault="00D935AA" w:rsidP="00DE098C">
      <w:pPr>
        <w:spacing w:after="160" w:line="259" w:lineRule="auto"/>
        <w:contextualSpacing/>
        <w:jc w:val="both"/>
        <w:rPr>
          <w:rFonts w:ascii="Open Sans" w:eastAsia="Calibri" w:hAnsi="Open Sans" w:cs="Open Sans"/>
          <w:b/>
          <w:bCs/>
          <w:kern w:val="2"/>
          <w:sz w:val="20"/>
          <w:szCs w:val="20"/>
          <w:lang w:eastAsia="en-US"/>
          <w14:ligatures w14:val="standardContextual"/>
        </w:rPr>
      </w:pPr>
    </w:p>
    <w:p w14:paraId="53767900" w14:textId="3F8E0119" w:rsidR="0044195E" w:rsidRPr="00A87FAE" w:rsidRDefault="00D935AA" w:rsidP="00DE098C">
      <w:pPr>
        <w:numPr>
          <w:ilvl w:val="0"/>
          <w:numId w:val="4"/>
        </w:numPr>
        <w:spacing w:after="160" w:line="259" w:lineRule="auto"/>
        <w:contextualSpacing/>
        <w:jc w:val="both"/>
        <w:rPr>
          <w:rFonts w:ascii="Open Sans" w:eastAsia="Calibri" w:hAnsi="Open Sans" w:cs="Open Sans"/>
          <w:kern w:val="2"/>
          <w:sz w:val="20"/>
          <w:szCs w:val="20"/>
          <w:lang w:eastAsia="en-US"/>
          <w14:ligatures w14:val="standardContextual"/>
        </w:rPr>
      </w:pPr>
      <w:r w:rsidRPr="00A87FAE">
        <w:rPr>
          <w:rFonts w:ascii="Open Sans" w:eastAsia="Calibri" w:hAnsi="Open Sans" w:cs="Open Sans"/>
          <w:b/>
          <w:bCs/>
          <w:kern w:val="2"/>
          <w:sz w:val="20"/>
          <w:szCs w:val="20"/>
          <w:lang w:eastAsia="en-US"/>
          <w14:ligatures w14:val="standardContextual"/>
        </w:rPr>
        <w:t>Sonstige Unterlagen</w:t>
      </w:r>
      <w:r w:rsidRPr="00A87FAE">
        <w:rPr>
          <w:rFonts w:ascii="Open Sans" w:eastAsia="Calibri" w:hAnsi="Open Sans" w:cs="Open Sans"/>
          <w:kern w:val="2"/>
          <w:sz w:val="20"/>
          <w:szCs w:val="20"/>
          <w:lang w:eastAsia="en-US"/>
          <w14:ligatures w14:val="standardContextual"/>
        </w:rPr>
        <w:t xml:space="preserve"> (maximal drei), z.B. bereits erfolgte Publikationen, Preise, Peer Reviews, weitere Gutachten etc., die insbesondere (aber nicht ausschließlich) zum Beleg der Exzellenz oder der Relevanz der Arbeit für den Großhandel herangezogen werden können. </w:t>
      </w:r>
      <w:r w:rsidR="00E345F2">
        <w:rPr>
          <w:rFonts w:ascii="Open Sans" w:eastAsia="Calibri" w:hAnsi="Open Sans" w:cs="Open Sans"/>
          <w:kern w:val="2"/>
          <w:sz w:val="20"/>
          <w:szCs w:val="20"/>
          <w:lang w:eastAsia="en-US"/>
          <w14:ligatures w14:val="standardContextual"/>
        </w:rPr>
        <w:t>Rein p</w:t>
      </w:r>
      <w:r w:rsidRPr="00A87FAE">
        <w:rPr>
          <w:rFonts w:ascii="Open Sans" w:eastAsia="Calibri" w:hAnsi="Open Sans" w:cs="Open Sans"/>
          <w:kern w:val="2"/>
          <w:sz w:val="20"/>
          <w:szCs w:val="20"/>
          <w:lang w:eastAsia="en-US"/>
          <w14:ligatures w14:val="standardContextual"/>
        </w:rPr>
        <w:t>ersonenbezogene Gutachten oder Empfehlungsschreiben werden nicht berücksichtigt. Für den Fall, dass die eingereichte Arbeit außerhalb einer Prüfungs- oder Promotionsordnung verfasst wurde, muss die Exzellenz der Arbeit im Sinne von 3. II., 3. III. der 3.</w:t>
      </w:r>
      <w:r w:rsidR="00A87FAE">
        <w:rPr>
          <w:rFonts w:ascii="Open Sans" w:eastAsia="Calibri" w:hAnsi="Open Sans" w:cs="Open Sans"/>
          <w:kern w:val="2"/>
          <w:sz w:val="20"/>
          <w:szCs w:val="20"/>
          <w:lang w:eastAsia="en-US"/>
          <w14:ligatures w14:val="standardContextual"/>
        </w:rPr>
        <w:t xml:space="preserve"> </w:t>
      </w:r>
      <w:r w:rsidRPr="00A87FAE">
        <w:rPr>
          <w:rFonts w:ascii="Open Sans" w:eastAsia="Calibri" w:hAnsi="Open Sans" w:cs="Open Sans"/>
          <w:kern w:val="2"/>
          <w:sz w:val="20"/>
          <w:szCs w:val="20"/>
          <w:lang w:eastAsia="en-US"/>
          <w14:ligatures w14:val="standardContextual"/>
        </w:rPr>
        <w:t xml:space="preserve">V.  belegt werden. Hierbei kann von der Begrenzung der maximalen Anzahl sonstiger Unterlagen abgewichen werden. </w:t>
      </w:r>
    </w:p>
    <w:p w14:paraId="030CD3DD" w14:textId="77777777" w:rsidR="0044195E" w:rsidRPr="00A87FAE" w:rsidRDefault="0044195E" w:rsidP="00DE098C">
      <w:pPr>
        <w:pStyle w:val="Listenabsatz"/>
        <w:jc w:val="both"/>
        <w:rPr>
          <w:rFonts w:ascii="Open Sans" w:eastAsia="Calibri" w:hAnsi="Open Sans" w:cs="Open Sans"/>
          <w:kern w:val="2"/>
          <w:sz w:val="20"/>
          <w:szCs w:val="20"/>
          <w:lang w:eastAsia="en-US"/>
          <w14:ligatures w14:val="standardContextual"/>
        </w:rPr>
      </w:pPr>
    </w:p>
    <w:p w14:paraId="7FB9F154" w14:textId="6561808E" w:rsidR="00D935AA" w:rsidRPr="00A87FAE" w:rsidRDefault="0044195E" w:rsidP="00DE098C">
      <w:pPr>
        <w:numPr>
          <w:ilvl w:val="0"/>
          <w:numId w:val="4"/>
        </w:numPr>
        <w:spacing w:after="160" w:line="259" w:lineRule="auto"/>
        <w:contextualSpacing/>
        <w:jc w:val="both"/>
        <w:rPr>
          <w:rFonts w:ascii="Open Sans" w:eastAsia="Calibri" w:hAnsi="Open Sans" w:cs="Open Sans"/>
          <w:kern w:val="2"/>
          <w:sz w:val="20"/>
          <w:szCs w:val="20"/>
          <w:lang w:eastAsia="en-US"/>
          <w14:ligatures w14:val="standardContextual"/>
        </w:rPr>
      </w:pPr>
      <w:r w:rsidRPr="00A87FAE">
        <w:rPr>
          <w:rFonts w:ascii="Open Sans" w:eastAsia="Calibri" w:hAnsi="Open Sans" w:cs="Open Sans"/>
          <w:kern w:val="2"/>
          <w:sz w:val="20"/>
          <w:szCs w:val="20"/>
          <w:lang w:eastAsia="en-US"/>
          <w14:ligatures w14:val="standardContextual"/>
        </w:rPr>
        <w:t>Sofern nicht ander</w:t>
      </w:r>
      <w:r w:rsidR="00BE1B59" w:rsidRPr="00A87FAE">
        <w:rPr>
          <w:rFonts w:ascii="Open Sans" w:eastAsia="Calibri" w:hAnsi="Open Sans" w:cs="Open Sans"/>
          <w:kern w:val="2"/>
          <w:sz w:val="20"/>
          <w:szCs w:val="20"/>
          <w:lang w:eastAsia="en-US"/>
          <w14:ligatures w14:val="standardContextual"/>
        </w:rPr>
        <w:t>s</w:t>
      </w:r>
      <w:r w:rsidRPr="00A87FAE">
        <w:rPr>
          <w:rFonts w:ascii="Open Sans" w:eastAsia="Calibri" w:hAnsi="Open Sans" w:cs="Open Sans"/>
          <w:kern w:val="2"/>
          <w:sz w:val="20"/>
          <w:szCs w:val="20"/>
          <w:lang w:eastAsia="en-US"/>
          <w14:ligatures w14:val="standardContextual"/>
        </w:rPr>
        <w:t xml:space="preserve"> kommuniziert, erfolgt </w:t>
      </w:r>
      <w:r w:rsidR="00BE1B59" w:rsidRPr="00A87FAE">
        <w:rPr>
          <w:rFonts w:ascii="Open Sans" w:eastAsia="Calibri" w:hAnsi="Open Sans" w:cs="Open Sans"/>
          <w:kern w:val="2"/>
          <w:sz w:val="20"/>
          <w:szCs w:val="20"/>
          <w:lang w:eastAsia="en-US"/>
          <w14:ligatures w14:val="standardContextual"/>
        </w:rPr>
        <w:t xml:space="preserve">die Einreichung </w:t>
      </w:r>
      <w:r w:rsidRPr="00A87FAE">
        <w:rPr>
          <w:rFonts w:ascii="Open Sans" w:eastAsia="Calibri" w:hAnsi="Open Sans" w:cs="Open Sans"/>
          <w:kern w:val="2"/>
          <w:sz w:val="20"/>
          <w:szCs w:val="20"/>
          <w:lang w:eastAsia="en-US"/>
          <w14:ligatures w14:val="standardContextual"/>
        </w:rPr>
        <w:t xml:space="preserve">ausschließlich via E-Mail. </w:t>
      </w:r>
      <w:r w:rsidR="00D935AA" w:rsidRPr="00A87FAE">
        <w:rPr>
          <w:rFonts w:ascii="Open Sans" w:eastAsia="Calibri" w:hAnsi="Open Sans" w:cs="Open Sans"/>
          <w:kern w:val="2"/>
          <w:sz w:val="20"/>
          <w:szCs w:val="20"/>
          <w:lang w:eastAsia="en-US"/>
          <w14:ligatures w14:val="standardContextual"/>
        </w:rPr>
        <w:t xml:space="preserve">Postalische oder sonstige Einreichungen sind ausgeschlossen. </w:t>
      </w:r>
    </w:p>
    <w:p w14:paraId="35681155" w14:textId="77777777" w:rsidR="00D935AA" w:rsidRPr="00A87FAE" w:rsidRDefault="00D935AA" w:rsidP="00DE098C">
      <w:pPr>
        <w:spacing w:after="160" w:line="259" w:lineRule="auto"/>
        <w:ind w:left="1080"/>
        <w:contextualSpacing/>
        <w:jc w:val="both"/>
        <w:rPr>
          <w:rFonts w:ascii="Open Sans" w:eastAsia="Calibri" w:hAnsi="Open Sans" w:cs="Open Sans"/>
          <w:kern w:val="2"/>
          <w:sz w:val="20"/>
          <w:szCs w:val="20"/>
          <w:lang w:eastAsia="en-US"/>
          <w14:ligatures w14:val="standardContextual"/>
        </w:rPr>
      </w:pPr>
    </w:p>
    <w:p w14:paraId="746DADE9" w14:textId="77777777" w:rsidR="00D935AA" w:rsidRPr="00A87FAE" w:rsidRDefault="00D935AA" w:rsidP="00DE098C">
      <w:pPr>
        <w:numPr>
          <w:ilvl w:val="0"/>
          <w:numId w:val="1"/>
        </w:numPr>
        <w:spacing w:after="160" w:line="259" w:lineRule="auto"/>
        <w:contextualSpacing/>
        <w:jc w:val="both"/>
        <w:rPr>
          <w:rFonts w:ascii="Open Sans" w:eastAsia="Calibri" w:hAnsi="Open Sans" w:cs="Open Sans"/>
          <w:b/>
          <w:bCs/>
          <w:kern w:val="2"/>
          <w:sz w:val="20"/>
          <w:szCs w:val="20"/>
          <w:lang w:eastAsia="en-US"/>
          <w14:ligatures w14:val="standardContextual"/>
        </w:rPr>
      </w:pPr>
      <w:r w:rsidRPr="00A87FAE">
        <w:rPr>
          <w:rFonts w:ascii="Open Sans" w:eastAsia="Calibri" w:hAnsi="Open Sans" w:cs="Open Sans"/>
          <w:b/>
          <w:bCs/>
          <w:kern w:val="2"/>
          <w:sz w:val="20"/>
          <w:szCs w:val="20"/>
          <w:lang w:eastAsia="en-US"/>
          <w14:ligatures w14:val="standardContextual"/>
        </w:rPr>
        <w:t>Vergabeverfahren</w:t>
      </w:r>
    </w:p>
    <w:p w14:paraId="2EB5C127" w14:textId="244F95E7" w:rsidR="00D935AA" w:rsidRPr="00A87FAE" w:rsidRDefault="00D935AA" w:rsidP="00DE098C">
      <w:pPr>
        <w:spacing w:after="160" w:line="259" w:lineRule="auto"/>
        <w:jc w:val="both"/>
        <w:rPr>
          <w:rFonts w:ascii="Open Sans" w:eastAsia="Calibri" w:hAnsi="Open Sans" w:cs="Open Sans"/>
          <w:kern w:val="2"/>
          <w:sz w:val="20"/>
          <w:szCs w:val="20"/>
          <w:lang w:eastAsia="en-US"/>
          <w14:ligatures w14:val="standardContextual"/>
        </w:rPr>
      </w:pPr>
      <w:r w:rsidRPr="00A87FAE">
        <w:rPr>
          <w:rFonts w:ascii="Open Sans" w:eastAsia="Calibri" w:hAnsi="Open Sans" w:cs="Open Sans"/>
          <w:kern w:val="2"/>
          <w:sz w:val="20"/>
          <w:szCs w:val="20"/>
          <w:lang w:eastAsia="en-US"/>
          <w14:ligatures w14:val="standardContextual"/>
        </w:rPr>
        <w:t>Nach Verstreichen der im Vorfeld kommunizierten Deadline ist die Annahme weiterer Bewerbungen ausgeschlossen. Im Anschluss werden die eingereichten Unterlagen formal geprüft und dem Gremium der Gutachter resp. Gutachterinnen der ForveG zugänglich gemacht</w:t>
      </w:r>
      <w:r w:rsidR="00E345F2">
        <w:rPr>
          <w:rFonts w:ascii="Open Sans" w:eastAsia="Calibri" w:hAnsi="Open Sans" w:cs="Open Sans"/>
          <w:kern w:val="2"/>
          <w:sz w:val="20"/>
          <w:szCs w:val="20"/>
          <w:lang w:eastAsia="en-US"/>
          <w14:ligatures w14:val="standardContextual"/>
        </w:rPr>
        <w:t xml:space="preserve">. </w:t>
      </w:r>
      <w:r w:rsidRPr="00A87FAE">
        <w:rPr>
          <w:rFonts w:ascii="Open Sans" w:eastAsia="Calibri" w:hAnsi="Open Sans" w:cs="Open Sans"/>
          <w:kern w:val="2"/>
          <w:sz w:val="20"/>
          <w:szCs w:val="20"/>
          <w:lang w:eastAsia="en-US"/>
          <w14:ligatures w14:val="standardContextual"/>
        </w:rPr>
        <w:t>Die Gutachterinnen und Gutachter bewert</w:t>
      </w:r>
      <w:r w:rsidR="00A87FAE">
        <w:rPr>
          <w:rFonts w:ascii="Open Sans" w:eastAsia="Calibri" w:hAnsi="Open Sans" w:cs="Open Sans"/>
          <w:kern w:val="2"/>
          <w:sz w:val="20"/>
          <w:szCs w:val="20"/>
          <w:lang w:eastAsia="en-US"/>
          <w14:ligatures w14:val="standardContextual"/>
        </w:rPr>
        <w:t>en</w:t>
      </w:r>
      <w:r w:rsidRPr="00A87FAE">
        <w:rPr>
          <w:rFonts w:ascii="Open Sans" w:eastAsia="Calibri" w:hAnsi="Open Sans" w:cs="Open Sans"/>
          <w:kern w:val="2"/>
          <w:sz w:val="20"/>
          <w:szCs w:val="20"/>
          <w:lang w:eastAsia="en-US"/>
          <w14:ligatures w14:val="standardContextual"/>
        </w:rPr>
        <w:t xml:space="preserve"> die Einreichungen im Anschluss intern anhand eines Punktesystems. Aus den jeweils vergebenen Punkten wird für jede Arbeit der Mittelwert gebildet. Auf Basis der Bewertungen bestimmt allein der Vorstand der ForveG satzungsgemäß die Preisträgerin oder den Preisträger. Ein Rechtsanspruch besteht nicht. </w:t>
      </w:r>
    </w:p>
    <w:p w14:paraId="0DBFB23D" w14:textId="77777777" w:rsidR="00D935AA" w:rsidRPr="00A87FAE" w:rsidRDefault="00D935AA" w:rsidP="00DE098C">
      <w:pPr>
        <w:spacing w:after="160" w:line="259" w:lineRule="auto"/>
        <w:jc w:val="both"/>
        <w:rPr>
          <w:rFonts w:ascii="Open Sans" w:eastAsia="Calibri" w:hAnsi="Open Sans" w:cs="Open Sans"/>
          <w:kern w:val="2"/>
          <w:sz w:val="20"/>
          <w:szCs w:val="20"/>
          <w:lang w:eastAsia="en-US"/>
          <w14:ligatures w14:val="standardContextual"/>
        </w:rPr>
      </w:pPr>
      <w:r w:rsidRPr="00A87FAE">
        <w:rPr>
          <w:rFonts w:ascii="Open Sans" w:eastAsia="Calibri" w:hAnsi="Open Sans" w:cs="Open Sans"/>
          <w:kern w:val="2"/>
          <w:sz w:val="20"/>
          <w:szCs w:val="20"/>
          <w:lang w:eastAsia="en-US"/>
          <w14:ligatures w14:val="standardContextual"/>
        </w:rPr>
        <w:t>Sollte es die Qualität der eingereichten Arbeiten zulassen, kann der Vorstand den Preis in Ausnahmefällen auch zwei eingereichten Arbeiten zusprechen. Das Preisgeld wird in diesem Fall entsprechend geteilt.</w:t>
      </w:r>
    </w:p>
    <w:p w14:paraId="5021B96E" w14:textId="1C367A30" w:rsidR="00D935AA" w:rsidRDefault="00D935AA" w:rsidP="00DE098C">
      <w:pPr>
        <w:spacing w:after="160" w:line="259" w:lineRule="auto"/>
        <w:jc w:val="both"/>
        <w:rPr>
          <w:rFonts w:ascii="Open Sans" w:eastAsia="Calibri" w:hAnsi="Open Sans" w:cs="Open Sans"/>
          <w:kern w:val="2"/>
          <w:sz w:val="20"/>
          <w:szCs w:val="20"/>
          <w:lang w:eastAsia="en-US"/>
          <w14:ligatures w14:val="standardContextual"/>
        </w:rPr>
      </w:pPr>
      <w:r w:rsidRPr="00A87FAE">
        <w:rPr>
          <w:rFonts w:ascii="Open Sans" w:eastAsia="Calibri" w:hAnsi="Open Sans" w:cs="Open Sans"/>
          <w:kern w:val="2"/>
          <w:sz w:val="20"/>
          <w:szCs w:val="20"/>
          <w:lang w:eastAsia="en-US"/>
          <w14:ligatures w14:val="standardContextual"/>
        </w:rPr>
        <w:lastRenderedPageBreak/>
        <w:t xml:space="preserve">Nach Abschluss des Vergabeprozesses werden der Preisträger oder die Preisträgerin sowie die interessierte Fachöffentlichkeit informiert. In Absprache mit den Gewinnerinnen oder Gewinnern wird die ForveG das Ergebnis des Vergabeverfahrens öffentlich kommunizieren. </w:t>
      </w:r>
    </w:p>
    <w:p w14:paraId="22A23AB6" w14:textId="44B30B4B" w:rsidR="00F32A3E" w:rsidRDefault="00F32A3E" w:rsidP="00DE098C">
      <w:pPr>
        <w:spacing w:after="160" w:line="259" w:lineRule="auto"/>
        <w:jc w:val="both"/>
        <w:rPr>
          <w:rFonts w:ascii="Open Sans" w:eastAsia="Calibri" w:hAnsi="Open Sans" w:cs="Open Sans"/>
          <w:kern w:val="2"/>
          <w:sz w:val="20"/>
          <w:szCs w:val="20"/>
          <w:lang w:eastAsia="en-US"/>
          <w14:ligatures w14:val="standardContextual"/>
        </w:rPr>
      </w:pPr>
    </w:p>
    <w:p w14:paraId="2544BA9C" w14:textId="7963B813" w:rsidR="00F32A3E" w:rsidRPr="00F32A3E" w:rsidRDefault="00F32A3E" w:rsidP="00F32A3E">
      <w:pPr>
        <w:pStyle w:val="Listenabsatz"/>
        <w:numPr>
          <w:ilvl w:val="0"/>
          <w:numId w:val="1"/>
        </w:numPr>
        <w:spacing w:after="160" w:line="259" w:lineRule="auto"/>
        <w:jc w:val="both"/>
        <w:rPr>
          <w:rFonts w:ascii="Open Sans" w:eastAsia="Calibri" w:hAnsi="Open Sans" w:cs="Open Sans"/>
          <w:b/>
          <w:bCs/>
          <w:kern w:val="2"/>
          <w:sz w:val="20"/>
          <w:szCs w:val="20"/>
          <w:lang w:eastAsia="en-US"/>
          <w14:ligatures w14:val="standardContextual"/>
        </w:rPr>
      </w:pPr>
      <w:r w:rsidRPr="00F32A3E">
        <w:rPr>
          <w:rFonts w:ascii="Open Sans" w:eastAsia="Calibri" w:hAnsi="Open Sans" w:cs="Open Sans"/>
          <w:b/>
          <w:bCs/>
          <w:kern w:val="2"/>
          <w:sz w:val="20"/>
          <w:szCs w:val="20"/>
          <w:lang w:eastAsia="en-US"/>
          <w14:ligatures w14:val="standardContextual"/>
        </w:rPr>
        <w:t>Datenschutzhinweis </w:t>
      </w:r>
    </w:p>
    <w:p w14:paraId="58B7AC37" w14:textId="77777777" w:rsidR="00F32A3E" w:rsidRPr="00F32A3E" w:rsidRDefault="00F32A3E" w:rsidP="00F32A3E">
      <w:pPr>
        <w:spacing w:after="160" w:line="259" w:lineRule="auto"/>
        <w:jc w:val="both"/>
        <w:rPr>
          <w:rFonts w:ascii="Open Sans" w:eastAsia="Calibri" w:hAnsi="Open Sans" w:cs="Open Sans"/>
          <w:kern w:val="2"/>
          <w:sz w:val="20"/>
          <w:szCs w:val="20"/>
          <w:lang w:eastAsia="en-US"/>
          <w14:ligatures w14:val="standardContextual"/>
        </w:rPr>
      </w:pPr>
      <w:r w:rsidRPr="00F32A3E">
        <w:rPr>
          <w:rFonts w:ascii="Open Sans" w:eastAsia="Calibri" w:hAnsi="Open Sans" w:cs="Open Sans"/>
          <w:kern w:val="2"/>
          <w:sz w:val="20"/>
          <w:szCs w:val="20"/>
          <w:lang w:eastAsia="en-US"/>
          <w14:ligatures w14:val="standardContextual"/>
        </w:rPr>
        <w:t>Die im Rahmen der Ausschreibung des Forschungspreises erhobenen Daten werden zur Verleihung des Förderpreises für exzellente Nachwuchsforschung im Großhandel verarbeitet.   </w:t>
      </w:r>
    </w:p>
    <w:p w14:paraId="1956A701" w14:textId="77777777" w:rsidR="00F32A3E" w:rsidRPr="00F32A3E" w:rsidRDefault="00F32A3E" w:rsidP="00F32A3E">
      <w:pPr>
        <w:spacing w:after="160" w:line="259" w:lineRule="auto"/>
        <w:jc w:val="both"/>
        <w:rPr>
          <w:rFonts w:ascii="Open Sans" w:eastAsia="Calibri" w:hAnsi="Open Sans" w:cs="Open Sans"/>
          <w:kern w:val="2"/>
          <w:sz w:val="20"/>
          <w:szCs w:val="20"/>
          <w:lang w:eastAsia="en-US"/>
          <w14:ligatures w14:val="standardContextual"/>
        </w:rPr>
      </w:pPr>
      <w:r w:rsidRPr="00F32A3E">
        <w:rPr>
          <w:rFonts w:ascii="Open Sans" w:eastAsia="Calibri" w:hAnsi="Open Sans" w:cs="Open Sans"/>
          <w:kern w:val="2"/>
          <w:sz w:val="20"/>
          <w:szCs w:val="20"/>
          <w:lang w:eastAsia="en-US"/>
          <w14:ligatures w14:val="standardContextual"/>
        </w:rPr>
        <w:t>Verantwortlicher ist die Forschungsvereinigung Großhandel (ForveG) e.V., Am Weidendamm 1a, 10117 Berlin, www.forveg.de </w:t>
      </w:r>
    </w:p>
    <w:p w14:paraId="2C518FDB" w14:textId="77777777" w:rsidR="00F32A3E" w:rsidRPr="00F32A3E" w:rsidRDefault="00F32A3E" w:rsidP="00F32A3E">
      <w:pPr>
        <w:spacing w:after="160" w:line="259" w:lineRule="auto"/>
        <w:jc w:val="both"/>
        <w:rPr>
          <w:rFonts w:ascii="Open Sans" w:eastAsia="Calibri" w:hAnsi="Open Sans" w:cs="Open Sans"/>
          <w:kern w:val="2"/>
          <w:sz w:val="20"/>
          <w:szCs w:val="20"/>
          <w:lang w:eastAsia="en-US"/>
          <w14:ligatures w14:val="standardContextual"/>
        </w:rPr>
      </w:pPr>
      <w:r w:rsidRPr="00F32A3E">
        <w:rPr>
          <w:rFonts w:ascii="Open Sans" w:eastAsia="Calibri" w:hAnsi="Open Sans" w:cs="Open Sans"/>
          <w:kern w:val="2"/>
          <w:sz w:val="20"/>
          <w:szCs w:val="20"/>
          <w:lang w:eastAsia="en-US"/>
          <w14:ligatures w14:val="standardContextual"/>
        </w:rPr>
        <w:t>Rechtsgrundlage für die Verarbeitung der personenbezogenen Daten ist Art. 6 Absatz 1 b DSGVO. </w:t>
      </w:r>
    </w:p>
    <w:p w14:paraId="50088AC4" w14:textId="77777777" w:rsidR="00F32A3E" w:rsidRPr="00F32A3E" w:rsidRDefault="00F32A3E" w:rsidP="00F32A3E">
      <w:pPr>
        <w:spacing w:after="160" w:line="259" w:lineRule="auto"/>
        <w:jc w:val="both"/>
        <w:rPr>
          <w:rFonts w:ascii="Open Sans" w:eastAsia="Calibri" w:hAnsi="Open Sans" w:cs="Open Sans"/>
          <w:kern w:val="2"/>
          <w:sz w:val="20"/>
          <w:szCs w:val="20"/>
          <w:lang w:eastAsia="en-US"/>
          <w14:ligatures w14:val="standardContextual"/>
        </w:rPr>
      </w:pPr>
      <w:r w:rsidRPr="00F32A3E">
        <w:rPr>
          <w:rFonts w:ascii="Open Sans" w:eastAsia="Calibri" w:hAnsi="Open Sans" w:cs="Open Sans"/>
          <w:kern w:val="2"/>
          <w:sz w:val="20"/>
          <w:szCs w:val="20"/>
          <w:lang w:eastAsia="en-US"/>
          <w14:ligatures w14:val="standardContextual"/>
        </w:rPr>
        <w:t>Dauer der Speicherung: Die Löschung der Daten der Teilnehmer erfolgt 180 Tage nach der Vergabe des Forschungspreises, sofern mit den Teilnehmern nicht individuell eine andere Vereinbarung getroffen wird.  </w:t>
      </w:r>
    </w:p>
    <w:p w14:paraId="72C0629B" w14:textId="77777777" w:rsidR="00F32A3E" w:rsidRPr="00F32A3E" w:rsidRDefault="00F32A3E" w:rsidP="00F32A3E">
      <w:pPr>
        <w:spacing w:after="160" w:line="259" w:lineRule="auto"/>
        <w:jc w:val="both"/>
        <w:rPr>
          <w:rFonts w:ascii="Open Sans" w:eastAsia="Calibri" w:hAnsi="Open Sans" w:cs="Open Sans"/>
          <w:kern w:val="2"/>
          <w:sz w:val="20"/>
          <w:szCs w:val="20"/>
          <w:lang w:eastAsia="en-US"/>
          <w14:ligatures w14:val="standardContextual"/>
        </w:rPr>
      </w:pPr>
    </w:p>
    <w:p w14:paraId="23C51869" w14:textId="5993D99B" w:rsidR="00F32A3E" w:rsidRPr="00A87FAE" w:rsidRDefault="00F32A3E" w:rsidP="00F32A3E">
      <w:pPr>
        <w:spacing w:after="160" w:line="259" w:lineRule="auto"/>
        <w:jc w:val="both"/>
        <w:rPr>
          <w:rFonts w:ascii="Open Sans" w:eastAsia="Calibri" w:hAnsi="Open Sans" w:cs="Open Sans"/>
          <w:kern w:val="2"/>
          <w:sz w:val="20"/>
          <w:szCs w:val="20"/>
          <w:lang w:eastAsia="en-US"/>
          <w14:ligatures w14:val="standardContextual"/>
        </w:rPr>
      </w:pPr>
      <w:r w:rsidRPr="00F32A3E">
        <w:rPr>
          <w:rFonts w:ascii="Open Sans" w:eastAsia="Calibri" w:hAnsi="Open Sans" w:cs="Open Sans"/>
          <w:kern w:val="2"/>
          <w:sz w:val="20"/>
          <w:szCs w:val="20"/>
          <w:lang w:eastAsia="en-US"/>
          <w14:ligatures w14:val="standardContextual"/>
        </w:rPr>
        <w:t>Beachten Sie bitte im Übrigen unsere Datenschutzerklärung. Sie finden diese unter: www.forveg.de/datenschutz/</w:t>
      </w:r>
    </w:p>
    <w:p w14:paraId="312C9FF3" w14:textId="77777777" w:rsidR="00F32A3E" w:rsidRDefault="00F32A3E" w:rsidP="00DE098C">
      <w:pPr>
        <w:spacing w:after="160" w:line="259" w:lineRule="auto"/>
        <w:jc w:val="both"/>
        <w:rPr>
          <w:rFonts w:ascii="Open Sans" w:eastAsia="Calibri" w:hAnsi="Open Sans" w:cs="Open Sans"/>
          <w:kern w:val="2"/>
          <w:sz w:val="20"/>
          <w:szCs w:val="20"/>
          <w:lang w:eastAsia="en-US"/>
          <w14:ligatures w14:val="standardContextual"/>
        </w:rPr>
      </w:pPr>
    </w:p>
    <w:p w14:paraId="38D388C7" w14:textId="477957ED" w:rsidR="00D935AA" w:rsidRPr="00A87FAE" w:rsidRDefault="00D935AA" w:rsidP="00DE098C">
      <w:pPr>
        <w:spacing w:after="160" w:line="259" w:lineRule="auto"/>
        <w:jc w:val="both"/>
        <w:rPr>
          <w:rFonts w:ascii="Open Sans" w:eastAsia="Calibri" w:hAnsi="Open Sans" w:cs="Open Sans"/>
          <w:kern w:val="2"/>
          <w:sz w:val="20"/>
          <w:szCs w:val="20"/>
          <w:lang w:eastAsia="en-US"/>
          <w14:ligatures w14:val="standardContextual"/>
        </w:rPr>
      </w:pPr>
      <w:r w:rsidRPr="00A87FAE">
        <w:rPr>
          <w:rFonts w:ascii="Open Sans" w:eastAsia="Calibri" w:hAnsi="Open Sans" w:cs="Open Sans"/>
          <w:kern w:val="2"/>
          <w:sz w:val="20"/>
          <w:szCs w:val="20"/>
          <w:lang w:eastAsia="en-US"/>
          <w14:ligatures w14:val="standardContextual"/>
        </w:rPr>
        <w:t xml:space="preserve">Stand: </w:t>
      </w:r>
      <w:r w:rsidR="00E345F2">
        <w:rPr>
          <w:rFonts w:ascii="Open Sans" w:eastAsia="Calibri" w:hAnsi="Open Sans" w:cs="Open Sans"/>
          <w:kern w:val="2"/>
          <w:sz w:val="20"/>
          <w:szCs w:val="20"/>
          <w:lang w:eastAsia="en-US"/>
          <w14:ligatures w14:val="standardContextual"/>
        </w:rPr>
        <w:t>04</w:t>
      </w:r>
      <w:r w:rsidR="00F32A3E">
        <w:rPr>
          <w:rFonts w:ascii="Open Sans" w:eastAsia="Calibri" w:hAnsi="Open Sans" w:cs="Open Sans"/>
          <w:kern w:val="2"/>
          <w:sz w:val="20"/>
          <w:szCs w:val="20"/>
          <w:lang w:eastAsia="en-US"/>
          <w14:ligatures w14:val="standardContextual"/>
        </w:rPr>
        <w:t xml:space="preserve">. </w:t>
      </w:r>
      <w:r w:rsidR="00E345F2">
        <w:rPr>
          <w:rFonts w:ascii="Open Sans" w:eastAsia="Calibri" w:hAnsi="Open Sans" w:cs="Open Sans"/>
          <w:kern w:val="2"/>
          <w:sz w:val="20"/>
          <w:szCs w:val="20"/>
          <w:lang w:eastAsia="en-US"/>
          <w14:ligatures w14:val="standardContextual"/>
        </w:rPr>
        <w:t>Dezember</w:t>
      </w:r>
      <w:r w:rsidR="00245DBD">
        <w:rPr>
          <w:rFonts w:ascii="Open Sans" w:eastAsia="Calibri" w:hAnsi="Open Sans" w:cs="Open Sans"/>
          <w:kern w:val="2"/>
          <w:sz w:val="20"/>
          <w:szCs w:val="20"/>
          <w:lang w:eastAsia="en-US"/>
          <w14:ligatures w14:val="standardContextual"/>
        </w:rPr>
        <w:t xml:space="preserve"> 2025</w:t>
      </w:r>
    </w:p>
    <w:p w14:paraId="7DD6B74A" w14:textId="77777777" w:rsidR="000A110B" w:rsidRPr="00A87FAE" w:rsidRDefault="000A110B" w:rsidP="00DE098C">
      <w:pPr>
        <w:jc w:val="both"/>
        <w:rPr>
          <w:rFonts w:ascii="Open Sans" w:hAnsi="Open Sans" w:cs="Open Sans"/>
          <w:sz w:val="20"/>
          <w:szCs w:val="20"/>
        </w:rPr>
      </w:pPr>
    </w:p>
    <w:sectPr w:rsidR="000A110B" w:rsidRPr="00A87FAE" w:rsidSect="00473720">
      <w:headerReference w:type="default" r:id="rId8"/>
      <w:footerReference w:type="default" r:id="rId9"/>
      <w:type w:val="continuous"/>
      <w:pgSz w:w="11906" w:h="16838"/>
      <w:pgMar w:top="2669" w:right="1417" w:bottom="1134" w:left="1417" w:header="708" w:footer="1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E49C3" w14:textId="77777777" w:rsidR="00473720" w:rsidRDefault="00473720" w:rsidP="00A50475">
      <w:pPr>
        <w:spacing w:line="240" w:lineRule="auto"/>
      </w:pPr>
      <w:r>
        <w:separator/>
      </w:r>
    </w:p>
  </w:endnote>
  <w:endnote w:type="continuationSeparator" w:id="0">
    <w:p w14:paraId="65DA808B" w14:textId="77777777" w:rsidR="00473720" w:rsidRDefault="00473720" w:rsidP="00A504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0000000000000000000"/>
    <w:charset w:val="00"/>
    <w:family w:val="auto"/>
    <w:pitch w:val="variable"/>
    <w:sig w:usb0="E00002FF" w:usb1="4000201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923" w:type="dxa"/>
      <w:tblLook w:val="04A0" w:firstRow="1" w:lastRow="0" w:firstColumn="1" w:lastColumn="0" w:noHBand="0" w:noVBand="1"/>
    </w:tblPr>
    <w:tblGrid>
      <w:gridCol w:w="3070"/>
      <w:gridCol w:w="3070"/>
      <w:gridCol w:w="3783"/>
    </w:tblGrid>
    <w:tr w:rsidR="00516569" w:rsidRPr="00A41357" w14:paraId="0CE26650" w14:textId="77777777" w:rsidTr="00CF732C">
      <w:tc>
        <w:tcPr>
          <w:tcW w:w="3070" w:type="dxa"/>
          <w:tcBorders>
            <w:top w:val="nil"/>
            <w:left w:val="nil"/>
            <w:bottom w:val="nil"/>
            <w:right w:val="nil"/>
          </w:tcBorders>
        </w:tcPr>
        <w:p w14:paraId="455D9321" w14:textId="536954C9" w:rsidR="00516569" w:rsidRPr="00A41357" w:rsidRDefault="00CF732C" w:rsidP="00AB0566">
          <w:pPr>
            <w:spacing w:after="60" w:line="240" w:lineRule="auto"/>
            <w:jc w:val="center"/>
            <w:rPr>
              <w:rFonts w:ascii="Open Sans" w:hAnsi="Open Sans" w:cs="Open Sans"/>
              <w:sz w:val="14"/>
              <w:szCs w:val="14"/>
            </w:rPr>
          </w:pPr>
          <w:r w:rsidRPr="00A41357">
            <w:rPr>
              <w:rFonts w:ascii="Open Sans" w:hAnsi="Open Sans" w:cs="Open Sans"/>
              <w:sz w:val="14"/>
              <w:szCs w:val="14"/>
            </w:rPr>
            <w:t>Vorstandsvorsitzender: Till Blässinger Geschäftsführer: Michael Nitsche</w:t>
          </w:r>
        </w:p>
      </w:tc>
      <w:tc>
        <w:tcPr>
          <w:tcW w:w="3070" w:type="dxa"/>
          <w:tcBorders>
            <w:top w:val="nil"/>
            <w:left w:val="nil"/>
            <w:bottom w:val="nil"/>
            <w:right w:val="nil"/>
          </w:tcBorders>
        </w:tcPr>
        <w:p w14:paraId="4BD656EE" w14:textId="79910D8F" w:rsidR="00516569" w:rsidRPr="00A41357" w:rsidRDefault="00A41357" w:rsidP="00A41357">
          <w:pPr>
            <w:spacing w:after="60" w:line="240" w:lineRule="auto"/>
            <w:jc w:val="center"/>
            <w:rPr>
              <w:rFonts w:ascii="Open Sans" w:hAnsi="Open Sans" w:cs="Open Sans"/>
              <w:sz w:val="14"/>
              <w:szCs w:val="14"/>
            </w:rPr>
          </w:pPr>
          <w:r w:rsidRPr="00A41357">
            <w:rPr>
              <w:rFonts w:ascii="Open Sans" w:hAnsi="Open Sans" w:cs="Open Sans"/>
              <w:b/>
              <w:bCs/>
              <w:sz w:val="14"/>
              <w:szCs w:val="14"/>
            </w:rPr>
            <w:t>Forschungsvereinigung</w:t>
          </w:r>
          <w:r w:rsidR="00B3364F">
            <w:rPr>
              <w:rFonts w:ascii="Open Sans" w:hAnsi="Open Sans" w:cs="Open Sans"/>
              <w:b/>
              <w:bCs/>
              <w:sz w:val="14"/>
              <w:szCs w:val="14"/>
            </w:rPr>
            <w:t xml:space="preserve"> </w:t>
          </w:r>
          <w:r w:rsidRPr="00A41357">
            <w:rPr>
              <w:rFonts w:ascii="Open Sans" w:hAnsi="Open Sans" w:cs="Open Sans"/>
              <w:b/>
              <w:bCs/>
              <w:sz w:val="14"/>
              <w:szCs w:val="14"/>
            </w:rPr>
            <w:t>Großhandel e.V. (ForveG)</w:t>
          </w:r>
          <w:r w:rsidRPr="00A41357">
            <w:rPr>
              <w:rFonts w:ascii="Open Sans" w:hAnsi="Open Sans" w:cs="Open Sans"/>
              <w:sz w:val="14"/>
              <w:szCs w:val="14"/>
            </w:rPr>
            <w:br/>
            <w:t xml:space="preserve">Am Weidendamm 1 a </w:t>
          </w:r>
          <w:r w:rsidRPr="00A41357">
            <w:rPr>
              <w:rFonts w:ascii="Open Sans" w:hAnsi="Open Sans" w:cs="Open Sans"/>
              <w:sz w:val="14"/>
              <w:szCs w:val="14"/>
            </w:rPr>
            <w:br/>
            <w:t>10117 Berlin</w:t>
          </w:r>
          <w:bookmarkStart w:id="0" w:name="_Hlk93337536"/>
          <w:bookmarkStart w:id="1" w:name="_Hlk93337537"/>
          <w:r>
            <w:rPr>
              <w:rFonts w:ascii="Open Sans" w:hAnsi="Open Sans" w:cs="Open Sans"/>
              <w:sz w:val="14"/>
              <w:szCs w:val="14"/>
            </w:rPr>
            <w:br/>
          </w:r>
          <w:r w:rsidRPr="00A41357">
            <w:rPr>
              <w:rFonts w:ascii="Open Sans" w:hAnsi="Open Sans" w:cs="Open Sans"/>
              <w:sz w:val="14"/>
              <w:szCs w:val="14"/>
            </w:rPr>
            <w:t>Telefon: 030 / 590099588</w:t>
          </w:r>
          <w:bookmarkEnd w:id="0"/>
          <w:bookmarkEnd w:id="1"/>
          <w:r w:rsidRPr="00A41357">
            <w:rPr>
              <w:rFonts w:ascii="Open Sans" w:hAnsi="Open Sans" w:cs="Open Sans"/>
              <w:sz w:val="14"/>
              <w:szCs w:val="14"/>
            </w:rPr>
            <w:br/>
            <w:t>E-Mail: info@forveg.de</w:t>
          </w:r>
        </w:p>
      </w:tc>
      <w:tc>
        <w:tcPr>
          <w:tcW w:w="3783" w:type="dxa"/>
          <w:tcBorders>
            <w:top w:val="nil"/>
            <w:left w:val="nil"/>
            <w:bottom w:val="nil"/>
            <w:right w:val="nil"/>
          </w:tcBorders>
        </w:tcPr>
        <w:p w14:paraId="24C3F6DE" w14:textId="61E67973" w:rsidR="00516569" w:rsidRPr="00A41357" w:rsidRDefault="00CF732C" w:rsidP="00AB0566">
          <w:pPr>
            <w:spacing w:after="60" w:line="240" w:lineRule="auto"/>
            <w:jc w:val="center"/>
            <w:rPr>
              <w:rFonts w:ascii="Open Sans" w:hAnsi="Open Sans" w:cs="Open Sans"/>
              <w:sz w:val="14"/>
              <w:szCs w:val="14"/>
            </w:rPr>
          </w:pPr>
          <w:r w:rsidRPr="00A41357">
            <w:rPr>
              <w:rFonts w:ascii="Open Sans" w:hAnsi="Open Sans" w:cs="Open Sans"/>
              <w:sz w:val="14"/>
              <w:szCs w:val="14"/>
            </w:rPr>
            <w:t>Bankverbindung: Berliner Sparkasse</w:t>
          </w:r>
          <w:r w:rsidR="00516569" w:rsidRPr="00A41357">
            <w:rPr>
              <w:rFonts w:ascii="Open Sans" w:hAnsi="Open Sans" w:cs="Open Sans"/>
              <w:sz w:val="14"/>
              <w:szCs w:val="14"/>
            </w:rPr>
            <w:br/>
          </w:r>
          <w:r w:rsidRPr="00A41357">
            <w:rPr>
              <w:rFonts w:ascii="Open Sans" w:hAnsi="Open Sans" w:cs="Open Sans"/>
              <w:sz w:val="14"/>
              <w:szCs w:val="14"/>
            </w:rPr>
            <w:t>IBAN: DE30 1005 0000 0191 1082 35 BIC: BELADEBEXXX</w:t>
          </w:r>
          <w:r w:rsidR="00AB0566" w:rsidRPr="00A41357">
            <w:rPr>
              <w:rFonts w:ascii="Open Sans" w:hAnsi="Open Sans" w:cs="Open Sans"/>
              <w:sz w:val="14"/>
              <w:szCs w:val="14"/>
            </w:rPr>
            <w:br/>
          </w:r>
          <w:r w:rsidRPr="00A41357">
            <w:rPr>
              <w:rFonts w:ascii="Open Sans" w:hAnsi="Open Sans" w:cs="Open Sans"/>
              <w:sz w:val="14"/>
              <w:szCs w:val="14"/>
            </w:rPr>
            <w:t>Vereinsregister: AG Charlottenburg, VR 39267 B</w:t>
          </w:r>
          <w:r w:rsidR="00516569" w:rsidRPr="00A41357">
            <w:rPr>
              <w:rFonts w:ascii="Open Sans" w:hAnsi="Open Sans" w:cs="Open Sans"/>
              <w:sz w:val="14"/>
              <w:szCs w:val="14"/>
            </w:rPr>
            <w:br/>
          </w:r>
          <w:r w:rsidRPr="00A41357">
            <w:rPr>
              <w:rFonts w:ascii="Open Sans" w:hAnsi="Open Sans" w:cs="Open Sans"/>
              <w:sz w:val="14"/>
              <w:szCs w:val="14"/>
            </w:rPr>
            <w:t>Steuernummer: 27/640/61720</w:t>
          </w:r>
        </w:p>
      </w:tc>
    </w:tr>
  </w:tbl>
  <w:p w14:paraId="647BBF5C" w14:textId="77777777" w:rsidR="003E0C30" w:rsidRPr="00A41357" w:rsidRDefault="003E0C30" w:rsidP="00477C1C">
    <w:pPr>
      <w:pStyle w:val="Fuzeile"/>
      <w:tabs>
        <w:tab w:val="clear" w:pos="4536"/>
        <w:tab w:val="clear" w:pos="9072"/>
      </w:tabs>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9939D" w14:textId="77777777" w:rsidR="00473720" w:rsidRDefault="00473720" w:rsidP="00A50475">
      <w:pPr>
        <w:spacing w:line="240" w:lineRule="auto"/>
      </w:pPr>
      <w:r>
        <w:separator/>
      </w:r>
    </w:p>
  </w:footnote>
  <w:footnote w:type="continuationSeparator" w:id="0">
    <w:p w14:paraId="568FE6F3" w14:textId="77777777" w:rsidR="00473720" w:rsidRDefault="00473720" w:rsidP="00A504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D7C9E" w14:textId="17BDF151" w:rsidR="003E0C30" w:rsidRDefault="00114BB8">
    <w:pPr>
      <w:pStyle w:val="Kopfzeile"/>
    </w:pPr>
    <w:r>
      <w:rPr>
        <w:rFonts w:asciiTheme="minorHAnsi" w:hAnsiTheme="minorHAnsi" w:cstheme="minorHAnsi"/>
        <w:b/>
        <w:bCs/>
        <w:noProof/>
        <w:sz w:val="16"/>
        <w:szCs w:val="16"/>
      </w:rPr>
      <w:drawing>
        <wp:anchor distT="0" distB="0" distL="114300" distR="114300" simplePos="0" relativeHeight="251659264" behindDoc="0" locked="0" layoutInCell="1" allowOverlap="1" wp14:anchorId="041219CA" wp14:editId="285530E1">
          <wp:simplePos x="0" y="0"/>
          <wp:positionH relativeFrom="column">
            <wp:posOffset>4110906</wp:posOffset>
          </wp:positionH>
          <wp:positionV relativeFrom="margin">
            <wp:posOffset>-1081691</wp:posOffset>
          </wp:positionV>
          <wp:extent cx="1736725" cy="368208"/>
          <wp:effectExtent l="0" t="0" r="0" b="0"/>
          <wp:wrapNone/>
          <wp:docPr id="3" name="Logo_1000x400px_17 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1000x400px_17 MB.jpg"/>
                  <pic:cNvPicPr/>
                </pic:nvPicPr>
                <pic:blipFill>
                  <a:blip r:embed="rId1">
                    <a:extLst>
                      <a:ext uri="{28A0092B-C50C-407E-A947-70E740481C1C}">
                        <a14:useLocalDpi xmlns:a14="http://schemas.microsoft.com/office/drawing/2010/main" val="0"/>
                      </a:ext>
                    </a:extLst>
                  </a:blip>
                  <a:stretch>
                    <a:fillRect/>
                  </a:stretch>
                </pic:blipFill>
                <pic:spPr>
                  <a:xfrm>
                    <a:off x="0" y="0"/>
                    <a:ext cx="1736725" cy="36820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C4F69"/>
    <w:multiLevelType w:val="hybridMultilevel"/>
    <w:tmpl w:val="003EA6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522056E"/>
    <w:multiLevelType w:val="hybridMultilevel"/>
    <w:tmpl w:val="4574E454"/>
    <w:lvl w:ilvl="0" w:tplc="108052C8">
      <w:start w:val="1"/>
      <w:numFmt w:val="upperRoman"/>
      <w:lvlText w:val="%1."/>
      <w:lvlJc w:val="left"/>
      <w:pPr>
        <w:ind w:left="1080" w:hanging="720"/>
      </w:pPr>
      <w:rPr>
        <w:rFonts w:hint="default"/>
        <w:b w:val="0"/>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18A0616"/>
    <w:multiLevelType w:val="hybridMultilevel"/>
    <w:tmpl w:val="118A4D8E"/>
    <w:lvl w:ilvl="0" w:tplc="04070019">
      <w:start w:val="1"/>
      <w:numFmt w:val="lowerLetter"/>
      <w:lvlText w:val="%1."/>
      <w:lvlJc w:val="left"/>
      <w:pPr>
        <w:ind w:left="1428" w:hanging="360"/>
      </w:pPr>
      <w:rPr>
        <w:rFont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3" w15:restartNumberingAfterBreak="0">
    <w:nsid w:val="60100EFA"/>
    <w:multiLevelType w:val="hybridMultilevel"/>
    <w:tmpl w:val="7C6CB3AE"/>
    <w:lvl w:ilvl="0" w:tplc="A69A08B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475"/>
    <w:rsid w:val="00053C3E"/>
    <w:rsid w:val="00054D8B"/>
    <w:rsid w:val="00070720"/>
    <w:rsid w:val="000923C3"/>
    <w:rsid w:val="000A110B"/>
    <w:rsid w:val="000E4051"/>
    <w:rsid w:val="000F6038"/>
    <w:rsid w:val="00114BB8"/>
    <w:rsid w:val="00147707"/>
    <w:rsid w:val="00153293"/>
    <w:rsid w:val="001A73BB"/>
    <w:rsid w:val="001C0E93"/>
    <w:rsid w:val="001C5542"/>
    <w:rsid w:val="001E33BD"/>
    <w:rsid w:val="00221DAC"/>
    <w:rsid w:val="00243885"/>
    <w:rsid w:val="00245DBD"/>
    <w:rsid w:val="002C1673"/>
    <w:rsid w:val="00335226"/>
    <w:rsid w:val="003E0C30"/>
    <w:rsid w:val="003F76AD"/>
    <w:rsid w:val="00404363"/>
    <w:rsid w:val="0042693C"/>
    <w:rsid w:val="0044195E"/>
    <w:rsid w:val="00473643"/>
    <w:rsid w:val="00473720"/>
    <w:rsid w:val="00477C1C"/>
    <w:rsid w:val="004934B9"/>
    <w:rsid w:val="004B4B03"/>
    <w:rsid w:val="00516569"/>
    <w:rsid w:val="00607248"/>
    <w:rsid w:val="00614B05"/>
    <w:rsid w:val="00662778"/>
    <w:rsid w:val="00670A21"/>
    <w:rsid w:val="007600BD"/>
    <w:rsid w:val="007B4FA3"/>
    <w:rsid w:val="007F35DE"/>
    <w:rsid w:val="00847638"/>
    <w:rsid w:val="00893AD6"/>
    <w:rsid w:val="008F1EBB"/>
    <w:rsid w:val="009C1F64"/>
    <w:rsid w:val="00A3686A"/>
    <w:rsid w:val="00A36E80"/>
    <w:rsid w:val="00A41357"/>
    <w:rsid w:val="00A50475"/>
    <w:rsid w:val="00A87FAE"/>
    <w:rsid w:val="00AB0566"/>
    <w:rsid w:val="00B3364F"/>
    <w:rsid w:val="00BE1B59"/>
    <w:rsid w:val="00C76AAC"/>
    <w:rsid w:val="00CD0E58"/>
    <w:rsid w:val="00CF732C"/>
    <w:rsid w:val="00CF77A0"/>
    <w:rsid w:val="00D307FA"/>
    <w:rsid w:val="00D52C2B"/>
    <w:rsid w:val="00D642FA"/>
    <w:rsid w:val="00D935AA"/>
    <w:rsid w:val="00DE098C"/>
    <w:rsid w:val="00E345F2"/>
    <w:rsid w:val="00E81731"/>
    <w:rsid w:val="00EE412B"/>
    <w:rsid w:val="00EF31FD"/>
    <w:rsid w:val="00F10DAB"/>
    <w:rsid w:val="00F32A3E"/>
    <w:rsid w:val="00F762C3"/>
    <w:rsid w:val="00FA7D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64F056C"/>
  <w15:docId w15:val="{4758A3B2-2038-4D82-81C2-C60FB4C40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50475"/>
    <w:pPr>
      <w:spacing w:after="0" w:line="260" w:lineRule="exact"/>
    </w:pPr>
    <w:rPr>
      <w:rFonts w:ascii="Arial" w:eastAsia="Times New Roman" w:hAnsi="Arial" w:cs="Times New Roman"/>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GATextkrperZchn">
    <w:name w:val="BGA Textkörper Zchn"/>
    <w:link w:val="BGATextkrper"/>
    <w:rsid w:val="00A50475"/>
    <w:rPr>
      <w:rFonts w:ascii="Arial" w:hAnsi="Arial"/>
    </w:rPr>
  </w:style>
  <w:style w:type="paragraph" w:customStyle="1" w:styleId="BGAImpressum">
    <w:name w:val="BGA Impressum"/>
    <w:basedOn w:val="BGATextkrper"/>
    <w:semiHidden/>
    <w:rsid w:val="00A50475"/>
    <w:pPr>
      <w:spacing w:after="84" w:line="168" w:lineRule="exact"/>
    </w:pPr>
    <w:rPr>
      <w:sz w:val="13"/>
    </w:rPr>
  </w:style>
  <w:style w:type="paragraph" w:customStyle="1" w:styleId="BGATextkrper">
    <w:name w:val="BGA Textkörper"/>
    <w:basedOn w:val="Standard"/>
    <w:link w:val="BGATextkrperZchn"/>
    <w:rsid w:val="00A50475"/>
    <w:pPr>
      <w:spacing w:after="130"/>
    </w:pPr>
    <w:rPr>
      <w:rFonts w:eastAsiaTheme="minorHAnsi" w:cstheme="minorBidi"/>
      <w:szCs w:val="22"/>
      <w:lang w:eastAsia="en-US"/>
    </w:rPr>
  </w:style>
  <w:style w:type="character" w:styleId="Hyperlink">
    <w:name w:val="Hyperlink"/>
    <w:semiHidden/>
    <w:rsid w:val="00A50475"/>
    <w:rPr>
      <w:color w:val="0000FF"/>
      <w:u w:val="single"/>
    </w:rPr>
  </w:style>
  <w:style w:type="paragraph" w:styleId="Kopfzeile">
    <w:name w:val="header"/>
    <w:basedOn w:val="Standard"/>
    <w:link w:val="KopfzeileZchn"/>
    <w:uiPriority w:val="99"/>
    <w:unhideWhenUsed/>
    <w:rsid w:val="00A5047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50475"/>
    <w:rPr>
      <w:rFonts w:ascii="Arial" w:eastAsia="Times New Roman" w:hAnsi="Arial" w:cs="Times New Roman"/>
      <w:szCs w:val="24"/>
      <w:lang w:eastAsia="de-DE"/>
    </w:rPr>
  </w:style>
  <w:style w:type="paragraph" w:styleId="Fuzeile">
    <w:name w:val="footer"/>
    <w:basedOn w:val="Standard"/>
    <w:link w:val="FuzeileZchn"/>
    <w:uiPriority w:val="99"/>
    <w:unhideWhenUsed/>
    <w:rsid w:val="00A50475"/>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50475"/>
    <w:rPr>
      <w:rFonts w:ascii="Arial" w:eastAsia="Times New Roman" w:hAnsi="Arial" w:cs="Times New Roman"/>
      <w:szCs w:val="24"/>
      <w:lang w:eastAsia="de-DE"/>
    </w:rPr>
  </w:style>
  <w:style w:type="paragraph" w:styleId="Sprechblasentext">
    <w:name w:val="Balloon Text"/>
    <w:basedOn w:val="Standard"/>
    <w:link w:val="SprechblasentextZchn"/>
    <w:uiPriority w:val="99"/>
    <w:semiHidden/>
    <w:unhideWhenUsed/>
    <w:rsid w:val="007B4FA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B4FA3"/>
    <w:rPr>
      <w:rFonts w:ascii="Tahoma" w:eastAsia="Times New Roman" w:hAnsi="Tahoma" w:cs="Tahoma"/>
      <w:sz w:val="16"/>
      <w:szCs w:val="16"/>
      <w:lang w:eastAsia="de-DE"/>
    </w:rPr>
  </w:style>
  <w:style w:type="table" w:styleId="Tabellenraster">
    <w:name w:val="Table Grid"/>
    <w:basedOn w:val="NormaleTabelle"/>
    <w:uiPriority w:val="59"/>
    <w:rsid w:val="00477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935AA"/>
    <w:pPr>
      <w:ind w:left="720"/>
      <w:contextualSpacing/>
    </w:pPr>
  </w:style>
  <w:style w:type="paragraph" w:styleId="berarbeitung">
    <w:name w:val="Revision"/>
    <w:hidden/>
    <w:uiPriority w:val="99"/>
    <w:semiHidden/>
    <w:rsid w:val="00A87FAE"/>
    <w:pPr>
      <w:spacing w:after="0" w:line="240" w:lineRule="auto"/>
    </w:pPr>
    <w:rPr>
      <w:rFonts w:ascii="Arial" w:eastAsia="Times New Roman" w:hAnsi="Arial" w:cs="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943576">
      <w:bodyDiv w:val="1"/>
      <w:marLeft w:val="0"/>
      <w:marRight w:val="0"/>
      <w:marTop w:val="0"/>
      <w:marBottom w:val="0"/>
      <w:divBdr>
        <w:top w:val="none" w:sz="0" w:space="0" w:color="auto"/>
        <w:left w:val="none" w:sz="0" w:space="0" w:color="auto"/>
        <w:bottom w:val="none" w:sz="0" w:space="0" w:color="auto"/>
        <w:right w:val="none" w:sz="0" w:space="0" w:color="auto"/>
      </w:divBdr>
    </w:div>
    <w:div w:id="106784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086B292-EE9D-4564-A65F-BBE9D03B617F}">
  <we:reference id="wa200002017" version="1.5.0.0" store="de-DE" storeType="OMEX"/>
  <we:alternateReferences>
    <we:reference id="wa200002017" version="1.5.0.0" store="wa200002017" storeType="OMEX"/>
  </we:alternateReferences>
  <we:properties>
    <we:property name="ignoredAdviceList" value="&quot;[{\&quot;errorCode\&quot;:\&quot;21\&quot;,\&quot;originalError\&quot;:\&quot;ForveG\&quot;},{\&quot;errorCode\&quot;:\&quot;19\&quot;,\&quot;originalError\&quot;:\&quot;e.V.\&quot;},{\&quot;errorCode\&quot;:\&quot;902\&quot;,\&quot;originalError\&quot;:\&quot;Insbesondere, aber\&quot;},{\&quot;errorCode\&quot;:\&quot;170\&quot;,\&quot;originalError\&quot;:\&quot;.  \&quot;},{\&quot;errorCode\&quot;:\&quot;1\&quot;,\&quot;originalError\&quot;:\&quot;a-j\&quot;},{\&quot;errorCode\&quot;:\&quot;26\&quot;,\&quot;originalError\&quot;:\&quot;4.II.\&quot;},{\&quot;errorCode\&quot;:\&quot;902\&quot;,\&quot;originalError\&quot;:\&quot;sonstigen, anerkannten\&quot;},{\&quot;errorCode\&quot;:\&quot;901\&quot;,\&quot;originalError\&quot;:\&quot;äquivalent Staatsexamen\&quot;},{\&quot;errorCode\&quot;:\&quot;142\&quot;,\&quot;originalError\&quot;:\&quot;Autoren oder Autorinnen\&quot;},{\&quot;errorCode\&quot;:\&quot;142\&quot;,\&quot;originalError\&quot;:\&quot;sollte\&quot;},{\&quot;errorCode\&quot;:\&quot;171\&quot;,\&quot;originalError\&quot;:\&quot;3.  aufgeführten\&quot;},{\&quot;errorCode\&quot;:\&quot;901\&quot;,\&quot;originalError\&quot;:\&quot;eingeladen ihre\&quot;},{\&quot;errorCode\&quot;:\&quot;30\&quot;,\&quot;originalError\&quot;:\&quot;bekanntgeben\&quot;},{\&quot;errorCode\&quot;:\&quot;901\&quot;,\&quot;originalError\&quot;:\&quot;gebeten folgende\&quot;},{\&quot;errorCode\&quot;:\&quot;26\&quot;,\&quot;originalError\&quot;:\&quot;3.I.\&quot;},{\&quot;errorCode\&quot;:\&quot;19\&quot;,\&quot;originalError\&quot;:\&quot;z.B.\&quot;},{\&quot;errorCode\&quot;:\&quot;26\&quot;,\&quot;originalError\&quot;:\&quot;3.V.\&quot;},{\&quot;errorCode\&quot;:\&quot;16\&quot;,\&quot;originalError\&quot;:\&quot;gewehrleisten\&quot;},{\&quot;errorCode\&quot;:\&quot;21\&quot;,\&quot;originalError\&quot;:\&quot;gewäehrleisten\&quot;},{\&quot;errorCode\&quot;:\&quot;142\&quot;,\&quot;originalError\&quot;:\&quot;Die Gutachterinnen und Gutachter\&quot;},{\&quot;errorCode\&quot;:\&quot;21\&quot;,\&quot;originalError\&quot;:\&quot;bewerteent\&quot;},{\&quot;errorCode\&quot;:\&quot;166\&quot;,\&quot;originalError\&quot;:\&quot;2024\&quot;},{\&quot;errorCode\&quot;:\&quot;c006\&quot;,\&quot;originalError\&quot;:\&quot;Großhandel\&quot;},{\&quot;errorCode\&quot;:\&quot;c006\&quot;,\&quot;originalError\&quot;:\&quot;Erkenntnisse\&quot;},{\&quot;errorCode\&quot;:\&quot;c006\&quot;,\&quot;originalError\&quot;:\&quot;Sponsoren\&quot;},{\&quot;errorCode\&quot;:\&quot;c005\&quot;,\&quot;originalError\&quot;:\&quot;Grundlage der Entscheidung ist die Empfehlung eines Gutachtergremiums, das durch den Vorstand eingesetzt wird und die Arbeiten sowohl nach wissenschaftlichen als auch branchenbezogenen Kriterien bewertet.\&quot;},{\&quot;errorCode\&quot;:\&quot;c006\&quot;,\&quot;originalError\&quot;:\&quot;Relevanz\&quot;},{\&quot;errorCode\&quot;:\&quot;c006\&quot;,\&quot;originalError\&quot;:\&quot;begründet\&quot;},{\&quot;errorCode\&quot;:\&quot;c006\&quot;,\&quot;originalError\&quot;:\&quot;Arbeit\&quot;},{\&quot;errorCode\&quot;:\&quot;c006\&quot;,\&quot;originalError\&quot;:\&quot;akademischen\&quot;},{\&quot;errorCode\&quot;:\&quot;c006\&quot;,\&quot;originalError\&quot;:\&quot;Grads\&quot;},{\&quot;errorCode\&quot;:\&quot;c006\&quot;,\&quot;originalError\&quot;:\&quot;Master\&quot;},{\&quot;errorCode\&quot;:\&quot;c006\&quot;,\&quot;originalError\&quot;:\&quot;Äquivalent\&quot;},{\&quot;errorCode\&quot;:\&quot;c006\&quot;,\&quot;originalError\&quot;:\&quot;entstanden\&quot;},{\&quot;errorCode\&quot;:\&quot;c005\&quot;,\&quot;originalError\&quot;:\&quot;Die Exzellenz der Arbeit muss in diesem Fall separat belegt werden (beispielsweise durch entsprechende Gutachten oder renommierte Publikationen).\&quot;},{\&quot;errorCode\&quot;:\&quot;c005\&quot;,\&quot;originalError\&quot;:\&quot;Die Exzellenz der Arbeit muss in diesem Fall separat belegt werden (beispielsweise durch entsprechende Gutachten oder renommierte Publikationen).\\r\&quot;},{\&quot;errorCode\&quot;:\&quot;c006\&quot;,\&quot;originalError\&quot;:\&quot;ausdrücklich\&quot;},{\&quot;errorCode\&quot;:\&quot;c006\&quot;,\&quot;originalError\&quot;:\&quot;Personen\&quot;},{\&quot;errorCode\&quot;:\&quot;c006\&quot;,\&quot;originalError\&quot;:\&quot;Autoren\&quot;},{\&quot;errorCode\&quot;:\&quot;c006\&quot;,\&quot;originalError\&quot;:\&quot;Autorinnen\&quot;},{\&quot;errorCode\&quot;:\&quot;c006\&quot;,\&quot;originalError\&quot;:\&quot;Masterzeugnis\&quot;},{\&quot;errorCode\&quot;:\&quot;c006\&quot;,\&quot;originalError\&quot;:\&quot;Belege\&quot;},{\&quot;errorCode\&quot;:\&quot;c006\&quot;,\&quot;originalError\&quot;:\&quot;Auch\&quot;},{\&quot;errorCode\&quot;:\&quot;c006\&quot;,\&quot;originalError\&quot;:\&quot;Gutachten\&quot;},{\&quot;errorCode\&quot;:\&quot;111\&quot;,\&quot;originalError\&quot;:\&quot;die\&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48F6E-2779-4AEA-BEB2-1D0189EDA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1465</Words>
  <Characters>9236</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Fährmann, Marlene</dc:creator>
  <cp:lastModifiedBy>Michael Nitsche</cp:lastModifiedBy>
  <cp:revision>20</cp:revision>
  <cp:lastPrinted>2024-12-17T12:19:00Z</cp:lastPrinted>
  <dcterms:created xsi:type="dcterms:W3CDTF">2024-01-05T10:30:00Z</dcterms:created>
  <dcterms:modified xsi:type="dcterms:W3CDTF">2025-12-04T10:02:00Z</dcterms:modified>
</cp:coreProperties>
</file>